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инвестирования в бизнес</w:t>
      </w:r>
    </w:p>
    <w:p>
      <w:pPr>
        <w:pStyle w:val="FirstParagraph"/>
      </w:pPr>
      <w:r>
        <w:t xml:space="preserve">Инвестор: Иванов Иван Иванович, паспорт 45 00 № 123456, выдан ОВД Хамовники г. Москвы 12.03.2015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Получатель инвестиций: ООО «Ромашка», ИНН 7701234567, в лице генерального директора Петрова Петра Петровича, действующего на основании устава</w:t>
      </w:r>
    </w:p>
    <w:bookmarkStart w:id="10" w:name="договор-инвестирования-в-бизнес"/>
    <w:p>
      <w:pPr>
        <w:pStyle w:val="Heading1"/>
      </w:pPr>
      <w:r>
        <w:t xml:space="preserve">Договор инвестирования в бизнес</w:t>
      </w:r>
    </w:p>
    <w:bookmarkStart w:id="9" w:name="X79bf8e1aee51e00c159cb148c543ab198f471d9"/>
    <w:p>
      <w:pPr>
        <w:pStyle w:val="Heading2"/>
      </w:pPr>
      <w:r>
        <w:t xml:space="preserve">о вложении денежных средств в развитие проекта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Инвестор передаёт Получателю инвестиций денежные средства в размере 3 000 000 (три миллиона) рублей на развитие проекта — открытие второго пункта выдачи заказов в г. Туле, а Получатель инвестиций обязуется использовать их по назначению и предоставить инвестору права, предусмотренные настоящим договором.</w:t>
      </w:r>
    </w:p>
    <w:p>
      <w:pPr>
        <w:pStyle w:val="BodyText"/>
      </w:pPr>
      <w:r>
        <w:t xml:space="preserve">Денежные средства перечисляются на расчётный счёт Получателя инвестиций в течение 5 рабочих дней с даты подписания договора.</w:t>
      </w:r>
    </w:p>
    <w:p>
      <w:pPr>
        <w:pStyle w:val="BodyText"/>
      </w:pPr>
      <w:r>
        <w:t xml:space="preserve">За вложенные средства инвестор получает 20 % доли в уставном капитале ООО «Ромашка». Доля передаётся инвестору после внесения денежных средств и государственной регистрации изменений в ЕГРЮЛ.</w:t>
      </w:r>
    </w:p>
    <w:p>
      <w:pPr>
        <w:pStyle w:val="BodyText"/>
      </w:pPr>
      <w:r>
        <w:t xml:space="preserve">Доход инвестора складывается из дивидендов пропорционально его доле в уставном капитале. Дивиденды выплачиваются по решению общего собрания участников.</w:t>
      </w:r>
    </w:p>
    <w:p>
      <w:pPr>
        <w:pStyle w:val="BodyText"/>
      </w:pPr>
      <w:r>
        <w:t xml:space="preserve">Получатель инвестиций ежеквартально, не позднее 30 числа месяца, следующего за отчётным кварталом, направляет инвестору отчёт о расходовании средств и о ходе проекта.</w:t>
      </w:r>
    </w:p>
    <w:p>
      <w:pPr>
        <w:pStyle w:val="BodyText"/>
      </w:pPr>
      <w:r>
        <w:t xml:space="preserve">Инвестор вправе выйти из общества путём отчуждения своей доли третьим лицам с соблюдением преимущественного права других участников, предусмотренного уставом и статьёй 21 Федерального закона от 08.02.1998 № 14-ФЗ «Об обществах с ограниченной ответственностью».</w:t>
      </w:r>
    </w:p>
    <w:p>
      <w:pPr>
        <w:pStyle w:val="BodyText"/>
      </w:pPr>
      <w:r>
        <w:t xml:space="preserve">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инвестиций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_________________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инвестирования в бизнес</dc:title>
  <dc:creator/>
  <dc:language>ru</dc:language>
  <cp:keywords/>
  <dcterms:created xsi:type="dcterms:W3CDTF">2026-11-04T20:31:32Z</dcterms:created>
  <dcterms:modified xsi:type="dcterms:W3CDTF">2026-11-04T20:31:32Z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