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хранения</w:t>
      </w:r>
    </w:p>
    <w:p>
      <w:pPr>
        <w:pStyle w:val="FirstParagraph"/>
      </w:pPr>
      <w:r>
        <w:t xml:space="preserve">Хранитель: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хранения"/>
    <w:p>
      <w:pPr>
        <w:pStyle w:val="Heading1"/>
      </w:pPr>
      <w:r>
        <w:t xml:space="preserve">Договор хранения</w:t>
      </w:r>
    </w:p>
    <w:bookmarkStart w:id="9" w:name="товара-на-складе"/>
    <w:p>
      <w:pPr>
        <w:pStyle w:val="Heading2"/>
      </w:pPr>
      <w:r>
        <w:t xml:space="preserve">товара на складе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Место и условия хранения: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Вознаграждение и порядок оплаты: 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Приёмка и проверка: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и возврат: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Прочие условия: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</dc:title>
  <dc:creator/>
  <dc:language>ru</dc:language>
  <cp:keywords/>
  <dcterms:created xsi:type="dcterms:W3CDTF">2026-10-31T20:31:39Z</dcterms:created>
  <dcterms:modified xsi:type="dcterms:W3CDTF">2026-10-31T20:31:39Z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