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______________________________________________________________</w:t>
      </w:r>
    </w:p>
    <w:p>
      <w:pPr>
        <w:pStyle w:val="BodyText"/>
      </w:pPr>
      <w:r>
        <w:t xml:space="preserve">______________________________________________________________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6f5f85f60ef532c115cc97bc740a8ffb080b57f"/>
    <w:p>
      <w:pPr>
        <w:pStyle w:val="Heading2"/>
      </w:pPr>
      <w:r>
        <w:t xml:space="preserve">по управлению грузовым автомобилем и доставке груза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Исполнитель обязуется по заявкам Заказчика оказывать услуги по управлению грузовым автомобилем Заказчика и доставке груза по маршруту, указанному в заявке, а Заказчик — принимать и оплачивать услуги.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Сроки и порядок оказания услуг.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Цена и порядок расчётов.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Права и обязанности сторон.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 сторон.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Налоги и статус Исполнителя.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Срок действия и расторжение.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2026-10-31T20:31:36Z</dcterms:created>
  <dcterms:modified xsi:type="dcterms:W3CDTF">2026-10-31T20:31:36Z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