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директора П. П. Петрова, действующего на основании устава,</w:t>
      </w:r>
    </w:p>
    <w:p>
      <w:pPr>
        <w:pStyle w:val="BodyText"/>
      </w:pPr>
      <w:r>
        <w:t xml:space="preserve">и И. И. Иванов, плательщик налога на профессиональный доход (ИНН 770000000000),</w:t>
      </w:r>
    </w:p>
    <w:p>
      <w:pPr>
        <w:pStyle w:val="BodyText"/>
      </w:pPr>
      <w:r>
        <w:t xml:space="preserve">именуемые Сторонами, заключили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4a1bccc1dc604ac3861bf690f0a34f5e29ed568"/>
    <w:p>
      <w:pPr>
        <w:pStyle w:val="Heading2"/>
      </w:pPr>
      <w:r>
        <w:t xml:space="preserve">с плательщиком налога на профессиональный доход</w:t>
      </w:r>
    </w:p>
    <w:p>
      <w:pPr>
        <w:pStyle w:val="FirstParagraph"/>
      </w:pPr>
      <w:r>
        <w:t xml:space="preserve">16 ноября 2026 г. № 14-ГПХ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по разработке рекламных макетов для интернет-магазина в объёме и по требованиям, указанным в приложении № 1, а Заказчик обязуется принять и оплатить их.</w:t>
      </w:r>
    </w:p>
    <w:p>
      <w:pPr>
        <w:pStyle w:val="BodyText"/>
      </w:pPr>
      <w:r>
        <w:t xml:space="preserve">2. Сроки. Услуги оказываются с 16 ноября по 15 декабря 2026 года. Результат передаётся по акту.</w:t>
      </w:r>
    </w:p>
    <w:p>
      <w:pPr>
        <w:pStyle w:val="BodyText"/>
      </w:pPr>
      <w:r>
        <w:t xml:space="preserve">3. Статус исполнителя. Исполнитель применяет специальный налоговый режим «Налог на профессиональный доход» и не является работником Заказчика. Исполнитель обязан сообщить Заказчику об утрате права на этот режим в течение трёх рабочих дней.</w:t>
      </w:r>
    </w:p>
    <w:p>
      <w:pPr>
        <w:pStyle w:val="BodyText"/>
      </w:pPr>
      <w:r>
        <w:t xml:space="preserve">4. Цена и оплата. Стоимость услуг — 60 000 рублей. Заказчик платит в течение 5 рабочих дней после подписания акта при наличии чека, сформированного исполнителем в приложении «Мой налог». НДФЛ и страховые взносы Заказчик не удерживает и не начисляет.</w:t>
      </w:r>
    </w:p>
    <w:p>
      <w:pPr>
        <w:pStyle w:val="BodyText"/>
      </w:pPr>
      <w:r>
        <w:t xml:space="preserve">5. Порядок оказания. Исполнитель сам определяет способ и время оказания услуг, не подчиняется правилам внутреннего трудового распорядка и не получает от Заказчика гарантированной ежемесячной выплаты.</w:t>
      </w:r>
    </w:p>
    <w:p>
      <w:pPr>
        <w:pStyle w:val="BodyText"/>
      </w:pPr>
      <w:r>
        <w:t xml:space="preserve">6. Приёмка. По окончании услуг Стороны подписывают акт с перечнем оказанных услуг и их стоимостью.</w:t>
      </w:r>
    </w:p>
    <w:p>
      <w:pPr>
        <w:pStyle w:val="BodyText"/>
      </w:pPr>
      <w:r>
        <w:t xml:space="preserve">7. Ответственность и споры. За просрочку оплаты Заказчик платит проценты по статье 395 ГК РФ. Споры рассматривает суд общей юрисдикции по месту нахождения Заказчика.</w:t>
      </w:r>
    </w:p>
    <w:p>
      <w:pPr>
        <w:pStyle w:val="BodyText"/>
      </w:pPr>
      <w:r>
        <w:t xml:space="preserve">8. Реквизиты и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Самозанятый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2026-10-28T22:22:23Z</dcterms:created>
  <dcterms:modified xsi:type="dcterms:W3CDTF">2026-10-28T22:22:23Z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