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ведение объекта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</w:t>
      </w:r>
    </w:p>
    <w:p>
      <w:pPr>
        <w:pStyle w:val="BodyText"/>
      </w:pPr>
      <w:r>
        <w:t xml:space="preserve">именуемый далее «Подрядчик»,</w:t>
      </w:r>
    </w:p>
    <w:bookmarkStart w:id="10" w:name="договор-подряда-на-ведение-объекта"/>
    <w:p>
      <w:pPr>
        <w:pStyle w:val="Heading1"/>
      </w:pPr>
      <w:r>
        <w:t xml:space="preserve">Договор подряда на ведение объекта</w:t>
      </w:r>
    </w:p>
    <w:bookmarkStart w:id="9" w:name="X4fdeaab11f4873b8e984bf2ff94941772a90b71"/>
    <w:p>
      <w:pPr>
        <w:pStyle w:val="Heading2"/>
      </w:pPr>
      <w:r>
        <w:t xml:space="preserve">№ ____ на выполнение работ по ведению строительного объекта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Заказчик поручает, а Подрядчик принимает на себя ведение одного объекта: жилой дом по адресу: Московская область, г. Химки, ул. Победы, д. 12. Подрядчик организует работы на объекте, ведёт исполнительную документацию, принимает материалы и контролирует сроки и качество работ, выполняемых бригадами Заказчика.</w:t>
      </w:r>
    </w:p>
    <w:p>
      <w:pPr>
        <w:pStyle w:val="BodyText"/>
      </w:pPr>
      <w:r>
        <w:t xml:space="preserve">2. Сроки. Начало работ — 23 ноября 2026 г., окончание — 30 июня 2027 г. Работы считаются выполненными после подписания сторонами итогового акта приёмки.</w:t>
      </w:r>
    </w:p>
    <w:p>
      <w:pPr>
        <w:pStyle w:val="BodyText"/>
      </w:pPr>
      <w:r>
        <w:t xml:space="preserve">3. Цена и порядок оплаты. Цена работ — 480 000 рублей за весь объём ведения объекта. Оплата — этапами по акту приёмки этапа: 160 000 рублей после нулевого цикла, 160 000 рублей после возведения коробки, 160 000 рублей после итогового акта. НДФЛ Заказчик удерживает из вознаграждения Подрядчика и перечисляет в бюджет.</w:t>
      </w:r>
    </w:p>
    <w:p>
      <w:pPr>
        <w:pStyle w:val="BodyText"/>
      </w:pPr>
      <w:r>
        <w:t xml:space="preserve">4. Обязанности Подрядчика. Выходить на объект по графику, согласованному с Заказчиком; проверять объёмы и качество работ бригад; вести журнал работ, акты скрытых работ и исполнительные схемы; принимать материалы по количеству и качеству; сообщать Заказчику о нарушениях в тот же день; не привлекать третьих лиц без письменного согласия Заказчика.</w:t>
      </w:r>
    </w:p>
    <w:p>
      <w:pPr>
        <w:pStyle w:val="BodyText"/>
      </w:pPr>
      <w:r>
        <w:t xml:space="preserve">5. Обязанности Заказчика. Передать Подрядчику проектную документацию, обеспечить доступ на объект и снабжение материалами, принять этапы работ в течение 5 рабочих дней с даты получения акта.</w:t>
      </w:r>
    </w:p>
    <w:p>
      <w:pPr>
        <w:pStyle w:val="BodyText"/>
      </w:pPr>
      <w:r>
        <w:t xml:space="preserve">6. Приёмка. Этап принимается по акту приёмки этапа, итог — по итоговому акту. Замечания Заказчик передаёт письменно; Подрядчик устраняет их за свой счёт, если они вызваны его работой.</w:t>
      </w:r>
    </w:p>
    <w:p>
      <w:pPr>
        <w:pStyle w:val="BodyText"/>
      </w:pPr>
      <w:r>
        <w:t xml:space="preserve">7. Ответственность. За просрочку этапа Подрядчик платит пеню 0,1 % от цены этапа за каждый день просрочки, но не больше 10 % цены этапа.</w:t>
      </w:r>
    </w:p>
    <w:p>
      <w:pPr>
        <w:pStyle w:val="BodyText"/>
      </w:pPr>
      <w:r>
        <w:t xml:space="preserve">8. Прочее. Подрядчик работает на объекте по своему графику, сам обеспечивает себя инструментом и спецодеждой, подчиняется правилам охраны труда на площадке. Договор вступает в силу с даты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паспорт серия ____ № 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ведение объекта</dc:title>
  <dc:creator/>
  <dc:language>ru</dc:language>
  <cp:keywords/>
  <dcterms:created xsi:type="dcterms:W3CDTF">2026-11-07T20:34:20Z</dcterms:created>
  <dcterms:modified xsi:type="dcterms:W3CDTF">2026-11-07T20:34:20Z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