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коммерческой концессии</w:t>
      </w:r>
    </w:p>
    <w:p>
      <w:pPr>
        <w:pStyle w:val="FirstParagraph"/>
      </w:pPr>
      <w:r>
        <w:t xml:space="preserve">ООО «Ромашка», именуемое в дальнейшем «Правообладатель»,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 ООО «Лютик», именуемое в дальнейшем «Пользователь», в лице директора Иванова Ивана Ивановича, действующего на основании устава,</w:t>
      </w:r>
    </w:p>
    <w:bookmarkStart w:id="10" w:name="договор-коммерческой-концессии"/>
    <w:p>
      <w:pPr>
        <w:pStyle w:val="Heading1"/>
      </w:pPr>
      <w:r>
        <w:t xml:space="preserve">Договор коммерческой концессии</w:t>
      </w:r>
    </w:p>
    <w:bookmarkStart w:id="9" w:name="договор-франчайзинга"/>
    <w:p>
      <w:pPr>
        <w:pStyle w:val="Heading2"/>
      </w:pPr>
      <w:r>
        <w:t xml:space="preserve">(договор франчайзинга)</w:t>
      </w:r>
    </w:p>
    <w:p>
      <w:pPr>
        <w:pStyle w:val="FirstParagraph"/>
      </w:pPr>
      <w:r>
        <w:t xml:space="preserve">«16» ноября 2026 г. № 14-Ф</w:t>
      </w:r>
    </w:p>
    <w:p>
      <w:pPr>
        <w:pStyle w:val="BodyText"/>
      </w:pPr>
      <w:r>
        <w:t xml:space="preserve">Правообладатель предоставляет Пользователю право использовать в предпринимательской деятельности комплекс исключительных прав: товарный знак «Ромашка» (свидетельство № 123456), секрет производства (ноу-хау) — рецептуры и технологические карты, а также коммерческое обозначение. Пользователь обязуется работать по стандартам сети и выплачивать вознаграждение.</w:t>
      </w:r>
    </w:p>
    <w:p>
      <w:pPr>
        <w:pStyle w:val="BodyText"/>
      </w:pPr>
      <w:r>
        <w:t xml:space="preserve">Договор вступает в силу с даты государственной регистрации в Роспатенте. Стороны обязуются подать заявление о регистрации в течение 10 рабочих дней с даты подписания.</w:t>
      </w:r>
    </w:p>
    <w:p>
      <w:pPr>
        <w:pStyle w:val="BodyText"/>
      </w:pPr>
      <w:r>
        <w:t xml:space="preserve">Паушальный взнос — 500 000 рублей, уплачивается в течение 5 рабочих дней с даты регистрации договора. Роялти — 5 % от выручки Пользователя за отчётный месяц, уплачивается ежемесячно до 10-го числа следующего месяца.</w:t>
      </w:r>
    </w:p>
    <w:p>
      <w:pPr>
        <w:pStyle w:val="BodyText"/>
      </w:pPr>
      <w:r>
        <w:t xml:space="preserve">Пользователь вправе использовать товарный знак на вывеске, в рекламе и на упаковке товаров. Территория использования — г. Москва. Пользователь не вправе передавать права третьим лицам без письменного согласия Правообладателя.</w:t>
      </w:r>
    </w:p>
    <w:p>
      <w:pPr>
        <w:pStyle w:val="BodyText"/>
      </w:pPr>
      <w:r>
        <w:t xml:space="preserve">Правообладатель вправе проверять соблюдение стандартов качества, проводить обучение сотрудников Пользователя. Пользователь обязуется не производить товары под товарным знаком за пределами согласованного ассортимента.</w:t>
      </w:r>
    </w:p>
    <w:p>
      <w:pPr>
        <w:pStyle w:val="BodyText"/>
      </w:pPr>
      <w:r>
        <w:t xml:space="preserve">При нарушении условий договора сторона вправе расторгнуть его в одностороннем порядке, письменно уведомив другую сторону не менее чем за 6 месяцев (или более длительный срок); расторжение по общим основаниям гл. 54 ГК возможно и по иным основаниям, предусмотренным договором. При прекращении договора Пользователь обязан прекратить использование товарного знака и снять вывеску в течение 7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Правообладатель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Пользователь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коммерческой концессии</dc:title>
  <dc:creator/>
  <dc:language>ru</dc:language>
  <cp:keywords/>
  <dcterms:created xsi:type="dcterms:W3CDTF">2026-10-28T20:14:30Z</dcterms:created>
  <dcterms:modified xsi:type="dcterms:W3CDTF">2026-10-28T20:14:30Z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