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коммерческой концессии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ОГРН 1234567890123, ИНН 7701234567, в лице генерального директора П. П. Петрова, действующего на основании устава, именуемое в дальнейшем «Правообладатель», с одной стороны, и</w:t>
      </w:r>
    </w:p>
    <w:p>
      <w:pPr>
        <w:pStyle w:val="BodyText"/>
      </w:pPr>
      <w:r>
        <w:t xml:space="preserve">ООО «Василёк», ОГРН 1234567890456, ИНН 7707654321, в лице генерального директора И. И. Иванова, действующего на основании устава, именуемое в дальнейшем «Пользователь», с другой стороны,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коммерческой-концессии"/>
    <w:p>
      <w:pPr>
        <w:pStyle w:val="Heading1"/>
      </w:pPr>
      <w:r>
        <w:t xml:space="preserve">Договор коммерческой концессии</w:t>
      </w:r>
    </w:p>
    <w:bookmarkStart w:id="9" w:name="X41a2094438c40914d1d468e36eb93cd0b1f928f"/>
    <w:p>
      <w:pPr>
        <w:pStyle w:val="Heading2"/>
      </w:pPr>
      <w:r>
        <w:t xml:space="preserve">о предоставлении права использовать комплекс исключительных прав</w:t>
      </w:r>
    </w:p>
    <w:p>
      <w:pPr>
        <w:pStyle w:val="FirstParagraph"/>
      </w:pPr>
      <w:r>
        <w:t xml:space="preserve">16 ноября 2026 г. № 7-К</w:t>
      </w:r>
    </w:p>
    <w:p>
      <w:pPr>
        <w:pStyle w:val="BodyText"/>
      </w:pPr>
      <w:r>
        <w:t xml:space="preserve">1. Правообладатель предоставляет Пользователю за вознаграждение на срок 5 лет право использовать в предпринимательской деятельности комплекс исключительных прав: товарный знак «Ромашка» по свидетельству № 123456 и секрет производства (ноу-хау) — рецептуру и технологические карты, — на территории г. Москвы и Московской области в сфере общественного питания.</w:t>
      </w:r>
    </w:p>
    <w:p>
      <w:pPr>
        <w:pStyle w:val="BodyText"/>
      </w:pPr>
      <w:r>
        <w:t xml:space="preserve">2. Пользователь обязуется использовать комплекс прав в объёме и по стандартам, установленным руководством по эксплуатации (приложение № 1), не изменять товарный знак и не передавать права третьим лицам без письменного согласия Правообладателя.</w:t>
      </w:r>
    </w:p>
    <w:p>
      <w:pPr>
        <w:pStyle w:val="BodyText"/>
      </w:pPr>
      <w:r>
        <w:t xml:space="preserve">3. Вознаграждение: разовый платёж 300 000 рублей в течение 10 рабочих дней с даты государственной регистрации договора и ежемесячный платёж 5 % от выручки точки, но не менее 50 000 рублей, до 10-го числа следующего месяца.</w:t>
      </w:r>
    </w:p>
    <w:p>
      <w:pPr>
        <w:pStyle w:val="BodyText"/>
      </w:pPr>
      <w:r>
        <w:t xml:space="preserve">4. Правообладатель вправе проводить плановые проверки соблюдения стандартов не чаще одного раза в квартал с уведомлением за 5 рабочих дней.</w:t>
      </w:r>
    </w:p>
    <w:p>
      <w:pPr>
        <w:pStyle w:val="BodyText"/>
      </w:pPr>
      <w:r>
        <w:t xml:space="preserve">5. Предоставление Пользователю права использования комплекса исключительных прав подлежит государственной регистрации в федеральном органе исполнительной власти по интеллектуальной собственности; предоставление права использования возникает с даты регистрации.</w:t>
      </w:r>
    </w:p>
    <w:p>
      <w:pPr>
        <w:pStyle w:val="BodyText"/>
      </w:pPr>
      <w:r>
        <w:t xml:space="preserve">6. Договор вступает в силу с даты государственной регистрации и действует 5 лет.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Правообладатель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Пользователь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коммерческой концессии</dc:title>
  <dc:creator/>
  <dc:language>ru</dc:language>
  <cp:keywords/>
  <dcterms:created xsi:type="dcterms:W3CDTF">2026-11-03T20:32:09Z</dcterms:created>
  <dcterms:modified xsi:type="dcterms:W3CDTF">2026-11-03T20:32:09Z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