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перевозки груза</w:t>
      </w:r>
    </w:p>
    <w:p>
      <w:pPr>
        <w:pStyle w:val="FirstParagraph"/>
      </w:pPr>
      <w:r>
        <w:t xml:space="preserve">ООО «Ромашка», именуемое в дальнейшем «Отправитель», в лице генерального директора Петрова Петра Петровича, действующего на основании устава,</w:t>
      </w:r>
    </w:p>
    <w:p>
      <w:pPr>
        <w:pStyle w:val="BodyText"/>
      </w:pPr>
      <w:r>
        <w:t xml:space="preserve">и ООО «Перевозчик», именуемое в дальнейшем «Перевозчик», в лице директора Сидорова Ивана Ивановича, действующего на основании устава,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перевозки-груза"/>
    <w:p>
      <w:pPr>
        <w:pStyle w:val="Heading1"/>
      </w:pPr>
      <w:r>
        <w:t xml:space="preserve">Договор перевозки груза</w:t>
      </w:r>
    </w:p>
    <w:bookmarkStart w:id="9" w:name="Xb756d6a322972156f2deb63990693d6b1070fdd"/>
    <w:p>
      <w:pPr>
        <w:pStyle w:val="Heading2"/>
      </w:pPr>
      <w:r>
        <w:t xml:space="preserve">о доставке товара автомобильным транспортом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1. Предмет договора. Перевозчик обязуется доставить вверенный ему Отправителем груз — товар по товарной накладной № 215 от 16 ноября 2026 г. — в пункт назначения: г. Казань, ул. Складская, д. 7, и выдать его управомоченному на получение груза лицу — ООО «Казань-Торг», а Отправитель обязуется уплатить за перевозку установленную плату.</w:t>
      </w:r>
    </w:p>
    <w:p>
      <w:pPr>
        <w:pStyle w:val="BodyText"/>
      </w:pPr>
      <w:r>
        <w:t xml:space="preserve">2. Срок доставки: груз должен быть передан получателю не позднее 18 ноября 2026 г. Перевозчик обязан сообщить Отправителю о задержке в день, когда она возникла.</w:t>
      </w:r>
    </w:p>
    <w:p>
      <w:pPr>
        <w:pStyle w:val="BodyText"/>
      </w:pPr>
      <w:r>
        <w:t xml:space="preserve">3. Плата за перевозку составляет 45 000 рублей и уплачивается в течение 5 рабочих дней после выдачи груза получателю при условии, что Перевозчик передал Отправителю транспортную накладную с отметкой получателя.</w:t>
      </w:r>
    </w:p>
    <w:p>
      <w:pPr>
        <w:pStyle w:val="BodyText"/>
      </w:pPr>
      <w:r>
        <w:t xml:space="preserve">4. Перевозка подтверждается транспортной накладной, которую Перевозчик составляет на каждую перевозку и передаёт Отправителю. Отправитель вправе заменить указанного в договоре получателя, уведомив Перевозчика письменно.</w:t>
      </w:r>
    </w:p>
    <w:p>
      <w:pPr>
        <w:pStyle w:val="BodyText"/>
      </w:pPr>
      <w:r>
        <w:t xml:space="preserve">5. Перевозчик отвечает за сохранность груза с момента его приёма и до выдачи получателю, если не докажет, что утрата, недостача или повреждение груза произошли вследствие обстоятельств, которые он не мог предотвратить и устранение которых от него не зависело.</w:t>
      </w:r>
    </w:p>
    <w:p>
      <w:pPr>
        <w:pStyle w:val="BodyText"/>
      </w:pPr>
      <w:r>
        <w:t xml:space="preserve">6. За просрочку доставки Перевозчик уплачивает Отправителю неустойку в размере 0,1 % от платы за перевозку за каждый день просрочки, но не более 10 % платы.</w:t>
      </w:r>
    </w:p>
    <w:p>
      <w:pPr>
        <w:pStyle w:val="BodyText"/>
      </w:pPr>
      <w:r>
        <w:t xml:space="preserve">7. Споры по договору рассматривает Арбитражный суд города Москвы. Договор вступает в силу с момента подписания и действует до полного исполнения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Директор ООО «Перевозчик»</w:t>
            </w:r>
          </w:p>
          <w:p>
            <w:pPr>
              <w:pStyle w:val="BodyText"/>
            </w:pPr>
            <w:r>
              <w:t xml:space="preserve">____________ / И. И.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перевозки груза</dc:title>
  <dc:creator/>
  <dc:language>ru</dc:language>
  <cp:keywords/>
  <dcterms:created xsi:type="dcterms:W3CDTF">2026-11-06T21:44:00Z</dcterms:created>
  <dcterms:modified xsi:type="dcterms:W3CDTF">2026-11-06T21:44:00Z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