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дарения</w:t>
      </w:r>
    </w:p>
    <w:p>
      <w:pPr>
        <w:pStyle w:val="FirstParagraph"/>
      </w:pPr>
      <w:r>
        <w:t xml:space="preserve">ООО «Ромашка», именуемое в дальнейшем «Даритель»,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«Василёк», именуемое в дальнейшем «Одаряемый»,</w:t>
      </w:r>
    </w:p>
    <w:p>
      <w:pPr>
        <w:pStyle w:val="BodyText"/>
      </w:pPr>
      <w:r>
        <w:t xml:space="preserve">в лице генерального директора И. И. Иванова, действующего на основании устава,</w:t>
      </w:r>
    </w:p>
    <w:bookmarkStart w:id="10" w:name="договор-дарения"/>
    <w:p>
      <w:pPr>
        <w:pStyle w:val="Heading1"/>
      </w:pPr>
      <w:r>
        <w:t xml:space="preserve">Договор дарения</w:t>
      </w:r>
    </w:p>
    <w:bookmarkStart w:id="9" w:name="имущества-между-юридическими-лицами"/>
    <w:p>
      <w:pPr>
        <w:pStyle w:val="Heading2"/>
      </w:pPr>
      <w:r>
        <w:t xml:space="preserve">имущества между юридическими лицами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Даритель передаёт Одаряемому безвозмездно, а Одаряемый принимает в собственность имущество: серверное оборудование в составе, указанном в приложении № 1 к настоящему договору. Даритель владеет имуществом на праве собственности, оно не заложено, под арестом и в споре не состоит.</w:t>
      </w:r>
    </w:p>
    <w:p>
      <w:pPr>
        <w:pStyle w:val="BodyText"/>
      </w:pPr>
      <w:r>
        <w:t xml:space="preserve">Даритель и Одаряемый являются коммерческими организациями. Предмет договора — обычный подарок стоимостью не более 3 000 рублей, дарение которого допускается подпунктом 4 пункта 1 статьи 575 Гражданского кодекса Российской Федерации.</w:t>
      </w:r>
    </w:p>
    <w:p>
      <w:pPr>
        <w:pStyle w:val="BodyText"/>
      </w:pPr>
      <w:r>
        <w:t xml:space="preserve">Имущество передаётся в течение 10 рабочих дней с даты подписания договора по акту приёма-передачи. Расходы на передачу и перевозку имущества несёт Даритель.</w:t>
      </w:r>
    </w:p>
    <w:p>
      <w:pPr>
        <w:pStyle w:val="BodyText"/>
      </w:pPr>
      <w:r>
        <w:t xml:space="preserve">Договор вступает в силу с даты подписания и действует до полного исполнения сторонами обязательств. Споры стороны решают переговорами, а при недостижении согласия — в Арбитражном суде города Москвы.</w:t>
      </w:r>
    </w:p>
    <w:p>
      <w:pPr>
        <w:pStyle w:val="BodyText"/>
      </w:pPr>
      <w:r>
        <w:t xml:space="preserve">Договор составлен в двух экземплярах, по одному для каждой стороны. Приложение № 1 — перечень передаваемого имущества.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Даритель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Одаряемый</w:t>
            </w:r>
          </w:p>
          <w:p>
            <w:pPr>
              <w:pStyle w:val="BodyText"/>
            </w:pPr>
            <w:r>
              <w:t xml:space="preserve">Генеральный 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дарения</dc:title>
  <dc:creator/>
  <dc:language>ru</dc:language>
  <cp:keywords/>
  <dcterms:created xsi:type="dcterms:W3CDTF">2026-11-07T20:34:08Z</dcterms:created>
  <dcterms:modified xsi:type="dcterms:W3CDTF">2026-11-07T20:34:08Z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