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целевого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ОГРН 1157746123456, в лице генерального директора П. П. Петрова, действующего на основании устава, именуемое в дальнейшем «Займодавец», с одной стороны</w:t>
      </w:r>
    </w:p>
    <w:p>
      <w:pPr>
        <w:pStyle w:val="BodyText"/>
      </w:pPr>
      <w:r>
        <w:t xml:space="preserve">и ООО «Василёк», ИНН 7709876543, ОГРН 1167746987654, в лице генерального директора И. И. Иванова, действующего на основании устава, именуемое в дальнейшем «Заемщик», с другой стороны, заключили настоящий договор о нижеследующем:</w:t>
      </w:r>
    </w:p>
    <w:bookmarkStart w:id="10" w:name="договор-целевого-займа"/>
    <w:p>
      <w:pPr>
        <w:pStyle w:val="Heading1"/>
      </w:pPr>
      <w:r>
        <w:t xml:space="preserve">Договор целевого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7-З</w:t>
      </w:r>
    </w:p>
    <w:p>
      <w:pPr>
        <w:pStyle w:val="BodyText"/>
      </w:pPr>
      <w:r>
        <w:t xml:space="preserve">1. Предмет договора. 1.1. Займодавец передаёт в собственность Заемщику денежные средства в размере 3 000 000 (три миллиона) рублей, а Заемщик обязуется вернуть такую же сумму в срок и в порядке, предусмотренные договором. 1.2. Заём является целевым: Заемщик использует его исключительно на оплату оборудования по договору поставки от 10 ноября 2026 г. № 45-П.</w:t>
      </w:r>
    </w:p>
    <w:p>
      <w:pPr>
        <w:pStyle w:val="BodyText"/>
      </w:pPr>
      <w:r>
        <w:t xml:space="preserve">1.3. Заём предоставляется на срок до 31 декабря 2027 г. 1.4. За пользование займом Заемщик уплачивает проценты по ставке 12 % годовых; проценты начисляются на сумму фактической задолженности со дня, следующего за днём перечисления, по день возврата включительно.</w:t>
      </w:r>
    </w:p>
    <w:p>
      <w:pPr>
        <w:pStyle w:val="BodyText"/>
      </w:pPr>
      <w:r>
        <w:t xml:space="preserve">2. Порядок предоставления и возврата. 2.1. Займодавец перечисляет сумму займа на расчётный счёт Заемщика в течение 5 рабочих дней с даты подписания договора. 2.2. Заемщик возвращает заём и уплачивает проценты равными платежами ежеквартально не позднее 10-го числа месяца, следующего за кварталом.</w:t>
      </w:r>
    </w:p>
    <w:p>
      <w:pPr>
        <w:pStyle w:val="BodyText"/>
      </w:pPr>
      <w:r>
        <w:t xml:space="preserve">3. Целевое использование и контроль. 3.1. Заемщик обязан использовать сумму займа только на цели, указанные в п. 1.2, и не позднее 30 дней после получения представить Займодавцу копии договора поставки, счетов и платёжных поручений. 3.2. Займодавец вправе не реже одного раза в квартал запрашивать документы о расходовании займа и проводить проверку; Заемщик представляет их в течение 10 рабочих дней.</w:t>
      </w:r>
    </w:p>
    <w:p>
      <w:pPr>
        <w:pStyle w:val="BodyText"/>
      </w:pPr>
      <w:r>
        <w:t xml:space="preserve">3.3. Если Заемщик не выполнит условие о целевом использовании или не обеспечит Займодавцу возможность контроля, Займодавец вправе потребовать досрочного возврата суммы займа и уплаты причитающихся процентов.</w:t>
      </w:r>
    </w:p>
    <w:p>
      <w:pPr>
        <w:pStyle w:val="BodyText"/>
      </w:pPr>
      <w:r>
        <w:t xml:space="preserve">4. Ответственность и споры. 4.1. За просрочку возврата Заемщик уплачивает проценты по ст. 395 ГК РФ на сумму долга за каждый день просрочки. 4.2. Споры разрешаются путём переговоров, а при недостижении согласия — в арбитражном суде по месту нахождения Займодавца.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Заемщик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целевого займа</dc:title>
  <dc:creator/>
  <dc:language>ru</dc:language>
  <cp:keywords/>
  <dcterms:created xsi:type="dcterms:W3CDTF">2026-11-03T20:32:06Z</dcterms:created>
  <dcterms:modified xsi:type="dcterms:W3CDTF">2026-11-03T20:32:06Z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