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бартера</w:t>
      </w:r>
    </w:p>
    <w:p>
      <w:pPr>
        <w:pStyle w:val="FirstParagraph"/>
      </w:pPr>
      <w:r>
        <w:t xml:space="preserve">ООО «Ромашка», именуемое в дальнейшем «Сторона 1»,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«Строймастер», именуемое в дальнейшем «Сторона 2», в лице директора А. А. Смирнова,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бартера"/>
    <w:p>
      <w:pPr>
        <w:pStyle w:val="Heading1"/>
      </w:pPr>
      <w:r>
        <w:t xml:space="preserve">Договор бартера</w:t>
      </w:r>
    </w:p>
    <w:bookmarkStart w:id="9" w:name="об-обмене-товара-на-работы"/>
    <w:p>
      <w:pPr>
        <w:pStyle w:val="Heading2"/>
      </w:pPr>
      <w:r>
        <w:t xml:space="preserve">об обмене товара на работы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Сторона 1 передаёт Стороне 2 офисную мебель по спецификации (приложение № 1) общей стоимостью 480 000 рублей, а Сторона 2 выполняет Стороне 1 ремонт офиса по адресу: г. Москва, ул. Лесная, д. 8, помещение 12, по смете (приложение № 2) стоимостью 480 000 рублей. Обмен признаётся равноценным.</w:t>
      </w:r>
    </w:p>
    <w:p>
      <w:pPr>
        <w:pStyle w:val="BodyText"/>
      </w:pPr>
      <w:r>
        <w:t xml:space="preserve">2. Сроки. Сторона 1 передаёт мебель до 10 декабря 2026 года, Сторона 2 выполняет ремонт до 20 декабря 2026 года.</w:t>
      </w:r>
    </w:p>
    <w:p>
      <w:pPr>
        <w:pStyle w:val="BodyText"/>
      </w:pPr>
      <w:r>
        <w:t xml:space="preserve">3. Право собственности. Право собственности на мебель переходит к Стороне 2, а на результат работ — к Стороне 1 после того, как обе стороны исполнят свои обязательства. До этого момента стороны владеют переданным имуществом как чужим и не вправе им распоряжаться.</w:t>
      </w:r>
    </w:p>
    <w:p>
      <w:pPr>
        <w:pStyle w:val="BodyText"/>
      </w:pPr>
      <w:r>
        <w:t xml:space="preserve">4. Расходы. Доставку мебели оплачивает Сторона 1, вывоз строительного мусора — Сторона 2.</w:t>
      </w:r>
    </w:p>
    <w:p>
      <w:pPr>
        <w:pStyle w:val="BodyText"/>
      </w:pPr>
      <w:r>
        <w:t xml:space="preserve">5. НДС. Стоимость каждой передачи указана с НДС по ставке 22 %. Каждая сторона выставляет счёт-фактуру на стоимость переданного и принимает к вычету НДС по полученному на основании счёта-фактуры другой стороны.</w:t>
      </w:r>
    </w:p>
    <w:p>
      <w:pPr>
        <w:pStyle w:val="BodyText"/>
      </w:pPr>
      <w:r>
        <w:t xml:space="preserve">6. Ответственность. За просрочку передачи стороны платят пеню 0,1 % от стоимости своего обязательства за каждый день просрочки, но не больше 10 % стоимости.</w:t>
      </w:r>
    </w:p>
    <w:p>
      <w:pPr>
        <w:pStyle w:val="BodyText"/>
      </w:pPr>
      <w:r>
        <w:t xml:space="preserve">7. Прочие условия. Споры стороны решают переговорами, при недостижении согласия — в Арбитражном суде города Москвы.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«Строймастер»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бартера</dc:title>
  <dc:creator/>
  <dc:language>ru</dc:language>
  <cp:keywords/>
  <dcterms:created xsi:type="dcterms:W3CDTF">2026-11-02T20:31:24Z</dcterms:created>
  <dcterms:modified xsi:type="dcterms:W3CDTF">2026-11-02T20:31:24Z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