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именуемые в дальнейшем сторонами, заключили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описью-передаваемого-имущества"/>
    <w:p>
      <w:pPr>
        <w:pStyle w:val="Heading2"/>
      </w:pPr>
      <w:r>
        <w:t xml:space="preserve">с описью передаваемого имущества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Арендодатель передаёт, а арендатор принимает во временное владение и пользование нежилое помещение общей площадью 120 кв. м по адресу: г. Москва, ул. Лесная, д. 8, пом. 3, вместе с имуществом, перечисленным в описи (приложение № 1).</w:t>
      </w:r>
    </w:p>
    <w:p>
      <w:pPr>
        <w:pStyle w:val="BodyText"/>
      </w:pPr>
      <w:r>
        <w:t xml:space="preserve">2. Имущество передаётся по акту приёма-передачи (приложение № 2). Арендатор отвечает за сохранность имущества и поддерживает его в состоянии, в котором получил, с учётом нормального износа.</w:t>
      </w:r>
    </w:p>
    <w:p>
      <w:pPr>
        <w:pStyle w:val="BodyText"/>
      </w:pPr>
      <w:r>
        <w:t xml:space="preserve">3. Арендная плата — 90 000 рублей в месяц, в том числе за пользование имуществом. Плата вносится не позднее 5-го числа оплачиваемого месяца.</w:t>
      </w:r>
    </w:p>
    <w:p>
      <w:pPr>
        <w:pStyle w:val="BodyText"/>
      </w:pPr>
      <w:r>
        <w:t xml:space="preserve">4. При возврате помещения стороны сверяют имущество с описью и подписывают акт возврата. Недостающее или повреждённое сверх нормального износа имущество арендатор возмещает по согласованной сторонами оценке.</w:t>
      </w:r>
    </w:p>
    <w:p>
      <w:pPr>
        <w:pStyle w:val="BodyText"/>
      </w:pPr>
      <w:r>
        <w:t xml:space="preserve">5. Договор вступает в силу с даты подписания и действует 11 месяцев. Приложения: № 1 — опись имущества, № 2 — акт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2026-11-04T20:31:21Z</dcterms:created>
  <dcterms:modified xsi:type="dcterms:W3CDTF">2026-11-04T20:31:21Z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