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Индивидуальный предприниматель ______________________________, ОГРНИП ______________________, именуемый в дальнейшем «Арендатор», с одной стороны, и</w:t>
      </w:r>
    </w:p>
    <w:p>
      <w:pPr>
        <w:pStyle w:val="BodyText"/>
      </w:pPr>
      <w:r>
        <w:t xml:space="preserve">гражданин ______________________________, паспорт ________ № ____________, выдан ______________________________________, зарегистрированный по адресу: ______________________________________, именуемый в дальнейшем «Арендодатель», с другой стороны,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X729bd88f0fb1775b46112eadb9aaad0a2e04bce"/>
    <w:p>
      <w:pPr>
        <w:pStyle w:val="Heading2"/>
      </w:pPr>
      <w:r>
        <w:t xml:space="preserve">между индивидуальным предпринимателем и физическим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помещение общей площадью ______ кв. м, кадастровый номер ______________________, расположенное по адресу: ______________________________________. Помещение принадлежит Арендодателю на праве собственности, запись в ЕГРН от __________ № ______________________.</w:t>
      </w:r>
    </w:p>
    <w:p>
      <w:pPr>
        <w:pStyle w:val="BodyText"/>
      </w:pPr>
      <w:r>
        <w:t xml:space="preserve">1.4. Помещение передаётся для ______________________________________. Арендатор вправе использовать помещение только в этих целях.</w:t>
      </w:r>
    </w:p>
    <w:p>
      <w:pPr>
        <w:pStyle w:val="BodyText"/>
      </w:pPr>
      <w:r>
        <w:t xml:space="preserve">2. Срок аренды. Договор заключён на срок ______ с __________ по __________. Если ни одна из сторон не заявит о прекращении договора не позднее чем за ______ календарных дней до окончания срока, договор считается продлённым на тот же срок на тех же условиях.</w:t>
      </w:r>
    </w:p>
    <w:p>
      <w:pPr>
        <w:pStyle w:val="BodyText"/>
      </w:pPr>
      <w:r>
        <w:t xml:space="preserve">3. Арендная плата. Размер арендной платы составляет ______ рублей в месяц. Плата включает ______________________________________. Коммунальные услуги, электроэнергия и вывоз мусора оплачиваются Арендатором отдельно по счетам поставщиков.</w:t>
      </w:r>
    </w:p>
    <w:p>
      <w:pPr>
        <w:pStyle w:val="BodyText"/>
      </w:pPr>
      <w:r>
        <w:t xml:space="preserve">3.3. Арендатор перечисляет арендную плату не позднее ______ числа оплачиваемого месяца на банковский счёт Арендодателя. Обязанность по уплате считается исполненной в день поступления денег на счёт Арендодателя.</w:t>
      </w:r>
    </w:p>
    <w:p>
      <w:pPr>
        <w:pStyle w:val="BodyText"/>
      </w:pPr>
      <w:r>
        <w:t xml:space="preserve">3.4. Арендатор как налоговый агент исчисляет и удерживает НДФЛ из арендной платы и перечисляет его в бюджет в установленном законом порядке.</w:t>
      </w:r>
    </w:p>
    <w:p>
      <w:pPr>
        <w:pStyle w:val="BodyText"/>
      </w:pPr>
      <w:r>
        <w:t xml:space="preserve">4. Передача помещения. Арендодатель передаёт помещение Арендатору по акту приёма-передачи в течение ______ рабочих дней со дня подписания договора. В акте стороны фиксируют показания приборов учёта и состояние помещения.</w:t>
      </w:r>
    </w:p>
    <w:p>
      <w:pPr>
        <w:pStyle w:val="BodyText"/>
      </w:pPr>
      <w:r>
        <w:t xml:space="preserve">5. Ремонт и улучшения. Текущий ремонт Арендатор выполняет за свой счёт. Капитальный ремонт выполняет Арендодатель. Неотделимые улучшения Арендатор производит только с письменного согласия Арендодателя; их стоимость Арендодатель не возмещает.</w:t>
      </w:r>
    </w:p>
    <w:p>
      <w:pPr>
        <w:pStyle w:val="BodyText"/>
      </w:pPr>
      <w:r>
        <w:t xml:space="preserve">6. Ответственность и расторжение. За просрочку арендной платы Арендатор платит пени в размере ______ % от суммы долга за каждый день просрочки. Каждая сторона вправе отказаться от договора, предупредив другую сторону за ______ календарных дней.</w:t>
      </w:r>
    </w:p>
    <w:p>
      <w:pPr>
        <w:pStyle w:val="BodyText"/>
      </w:pPr>
      <w:r>
        <w:t xml:space="preserve">7. Прочие условия. Договор составлен в двух экземплярах, по одному для каждой стороны. Споры стороны решают путём переговоров, а при недостижении согласия — в суде общей юрисдикции по правилам подсудности.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2026-10-30T21:46:59Z</dcterms:created>
  <dcterms:modified xsi:type="dcterms:W3CDTF">2026-10-30T21:46:59Z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