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недвижимости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«16» ноября 2026 г.</w:t>
      </w:r>
    </w:p>
    <w:bookmarkStart w:id="10" w:name="договор-аренды-недвижимости"/>
    <w:p>
      <w:pPr>
        <w:pStyle w:val="Heading1"/>
      </w:pPr>
      <w:r>
        <w:t xml:space="preserve">Договор аренды недвижимости</w:t>
      </w:r>
    </w:p>
    <w:bookmarkStart w:id="9" w:name="нежилого-помещения"/>
    <w:p>
      <w:pPr>
        <w:pStyle w:val="Heading2"/>
      </w:pPr>
      <w:r>
        <w:t xml:space="preserve">нежилого помещения</w:t>
      </w:r>
    </w:p>
    <w:p>
      <w:pPr>
        <w:pStyle w:val="FirstParagraph"/>
      </w:pPr>
      <w:r>
        <w:t xml:space="preserve">№ 14-А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именуемое в дальнейшем «Арендодатель», с одной стороны, и ООО «Лютик» в лице генерального директора И. И. Иванова, действующего на основании устава, именуемое в дальнейшем «Арендатор»,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Предмет договора. 1.1. Арендодатель передаёт Арендатору во временное владение и пользование нежилое помещение общей площадью 240 кв. м, кадастровый номер 77:01:0000000:1234, расположенное по адресу: г. Москва, ул. Примерная, д. 10, пом. 3, для размещения офиса.</w:t>
      </w:r>
    </w:p>
    <w:p>
      <w:pPr>
        <w:pStyle w:val="BodyText"/>
      </w:pPr>
      <w:r>
        <w:t xml:space="preserve">1.2. Передача объекта оформляется актом приёма-передачи, который подписывают обе стороны и который является неотъемлемой частью договора.</w:t>
      </w:r>
    </w:p>
    <w:p>
      <w:pPr>
        <w:pStyle w:val="BodyText"/>
      </w:pPr>
      <w:r>
        <w:t xml:space="preserve">2. Срок аренды. 2.1. Срок аренды — 5 лет с даты подписания акта приёма-передачи. 2.2. Договор подлежит государственной регистрации в Росреестре; расходы на регистрацию несёт Арендатор.</w:t>
      </w:r>
    </w:p>
    <w:p>
      <w:pPr>
        <w:pStyle w:val="BodyText"/>
      </w:pPr>
      <w:r>
        <w:t xml:space="preserve">3. Арендная плата. 3.1. Арендная плата составляет 180 000 рублей в месяц, НДС не облагается. 3.2. Плата вносится не позднее 10-го числа текущего месяца. 3.3. Коммунальные платежи Арендатор оплачивает по счетам поставщиков отдельно.</w:t>
      </w:r>
    </w:p>
    <w:p>
      <w:pPr>
        <w:pStyle w:val="BodyText"/>
      </w:pPr>
      <w:r>
        <w:t xml:space="preserve">4. Обязанности сторон. 4.1. Арендодатель передаёт объект в состоянии, пригодном для использования по назначению, в срок до 1 декабря 2026 года. 4.2. Арендатор поддерживает помещение в исправном состоянии, проводит текущий ремонт и не производит перепланировку без письменного согласия Арендодателя.</w:t>
      </w:r>
    </w:p>
    <w:p>
      <w:pPr>
        <w:pStyle w:val="BodyText"/>
      </w:pPr>
      <w:r>
        <w:t xml:space="preserve">5. Прочие условия. 5.1. Споры по договору рассматривает Арбитражный суд города Москвы. 5.2. Договор составлен в трёх экземплярах,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недвижимости</dc:title>
  <dc:creator/>
  <dc:language>ru</dc:language>
  <cp:keywords/>
  <dcterms:created xsi:type="dcterms:W3CDTF">2026-11-01T20:31:34Z</dcterms:created>
  <dcterms:modified xsi:type="dcterms:W3CDTF">2026-11-01T20:31:34Z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