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«Лютик»</w:t>
      </w:r>
    </w:p>
    <w:p>
      <w:pPr>
        <w:pStyle w:val="BodyText"/>
      </w:pPr>
      <w:r>
        <w:t xml:space="preserve">в лице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1.1. Арендодатель передаёт, а Арендатор принимает во временное владение и пользование нежилое помещение общей площадью 120 кв. м, кадастровый номер 77:01:0000000:0000, расположенное по адресу: г. Москва, ул. Примерная, д. 1, пом. 4, для размещения офиса и склада.</w:t>
      </w:r>
    </w:p>
    <w:p>
      <w:pPr>
        <w:pStyle w:val="BodyText"/>
      </w:pPr>
      <w:r>
        <w:t xml:space="preserve">1.2. Помещение принадлежит Арендодателю на праве собственности, запись в ЕГРН от 10.02.2021 № 77-77/001-77/001/001/2021-1. Помещение не заложено, не арестовано и не является предметом споров с третьими лицами.</w:t>
      </w:r>
    </w:p>
    <w:p>
      <w:pPr>
        <w:pStyle w:val="BodyText"/>
      </w:pPr>
      <w:r>
        <w:t xml:space="preserve">3.1. Арендная плата — 1 500 рублей за 1 кв. м в месяц, всего 180 000 рублей в месяц. В плату входит пользование помещением и местами общего пользования; коммунальные услуги Арендатор оплачивает отдельно по счётчикам и счетам поставщиков.</w:t>
      </w:r>
    </w:p>
    <w:p>
      <w:pPr>
        <w:pStyle w:val="BodyText"/>
      </w:pPr>
      <w:r>
        <w:t xml:space="preserve">3.2. Арендатор платит не позднее 5-го числа текущего месяца на счёт Арендодателя. Плата за первый месяц — не позднее 5 рабочих дней со дня подписания акта приёма-передачи.</w:t>
      </w:r>
    </w:p>
    <w:p>
      <w:pPr>
        <w:pStyle w:val="BodyText"/>
      </w:pPr>
      <w:r>
        <w:t xml:space="preserve">4.1. Текущий ремонт и содержание помещения — обязанность Арендатора. Капитальный ремонт, ремонт крыши, фасада и инженерных сетей до границы раздела — обязанность Арендодателя.</w:t>
      </w:r>
    </w:p>
    <w:p>
      <w:pPr>
        <w:pStyle w:val="BodyText"/>
      </w:pPr>
      <w:r>
        <w:t xml:space="preserve">5.1. Срок аренды — 3 года с даты подписания акта приёма-передачи. Договор подлежит государственной регистрации в ЕГРН; расходы на регистрацию несёт Арендатор.</w:t>
      </w:r>
    </w:p>
    <w:p>
      <w:pPr>
        <w:pStyle w:val="BodyText"/>
      </w:pPr>
      <w:r>
        <w:t xml:space="preserve">6.1. Арендатор вправе разместить вывеску со своим наименованием на фасаде у входа в помещение по согласованию с Арендодателем и в порядке, установленном для рекламных конструкций.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2026-11-02T20:31:17Z</dcterms:created>
  <dcterms:modified xsi:type="dcterms:W3CDTF">2026-11-02T20:31:17Z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