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дистанционной-работе"/>
    <w:p>
      <w:pPr>
        <w:pStyle w:val="Heading2"/>
      </w:pPr>
      <w:r>
        <w:t xml:space="preserve">о дистанционной работе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продаж. Работа носит дистанционный характер: работник выполняет трудовую функцию вне места нахождения работодателя, его филиала, представительства, иного обособленного подразделения, вне стационарного рабочего места, территории или объекта, прямо или косвенно находящихся под контролем работодателя.</w:t>
      </w:r>
    </w:p>
    <w:p>
      <w:pPr>
        <w:pStyle w:val="BodyText"/>
      </w:pPr>
      <w:r>
        <w:t xml:space="preserve">2. Место работы работника: г. Казань.</w:t>
      </w:r>
    </w:p>
    <w:p>
      <w:pPr>
        <w:pStyle w:val="BodyText"/>
      </w:pPr>
      <w:r>
        <w:t xml:space="preserve">3. Работник использует для работы принадлежащие ему компьютер и телефон. Работодатель выплачивает компенсацию за использование оборудования в размере, установленном дополнительным соглашением, и возмещает расходы на связь. Порядок выплаты — приложением № 1 к договору.</w:t>
      </w:r>
    </w:p>
    <w:p>
      <w:pPr>
        <w:pStyle w:val="BodyText"/>
      </w:pPr>
      <w:r>
        <w:t xml:space="preserve">4. Работник и работодатель обмениваются документами в электронном виде по адресам электронной почты, указанным в договоре. По письменному заявлению работника работодатель не позднее трёх рабочих дней со дня получения заявления направляет ему оформленный надлежащим образом экземпляр договора на бумажном носителе.</w:t>
      </w:r>
    </w:p>
    <w:p>
      <w:pPr>
        <w:pStyle w:val="BodyText"/>
      </w:pPr>
      <w:r>
        <w:t xml:space="preserve">5. Работнику устанавливается испытание продолжительностью три месяца.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2026-11-03T20:31:44Z</dcterms:created>
  <dcterms:modified xsi:type="dcterms:W3CDTF">2026-11-03T20:31:44Z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