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в лице ____________________________________________,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дистанционной-работе"/>
    <w:p>
      <w:pPr>
        <w:pStyle w:val="Heading2"/>
      </w:pPr>
      <w:r>
        <w:t xml:space="preserve">о дистанционной работе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____________________________________ в ______________________________. Работа носит дистанционный характер: работник выполняет трудовую функцию вне места нахождения работодателя, его филиала, представительства, иного обособленного подразделения, вне стационарного рабочего места, территории или объекта, прямо или косвенно находящихся под контролем работодателя.</w:t>
      </w:r>
    </w:p>
    <w:p>
      <w:pPr>
        <w:pStyle w:val="BodyText"/>
      </w:pPr>
      <w:r>
        <w:t xml:space="preserve">2. Место работы работника: ______________________________________.</w:t>
      </w:r>
    </w:p>
    <w:p>
      <w:pPr>
        <w:pStyle w:val="BodyText"/>
      </w:pPr>
      <w:r>
        <w:t xml:space="preserve">3. Оборудование и связь: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обмена документами: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Испытание: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2026-11-03T20:31:44Z</dcterms:created>
  <dcterms:modified xsi:type="dcterms:W3CDTF">2026-11-03T20:31:44Z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