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ИНН 7701234567</w:t>
      </w:r>
    </w:p>
    <w:p>
      <w:pPr>
        <w:pStyle w:val="BodyText"/>
      </w:pPr>
      <w:r>
        <w:t xml:space="preserve">КПП 770101001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Налоговый период 34, отчётный год 2026</w:t>
      </w:r>
    </w:p>
    <w:p>
      <w:pPr>
        <w:pStyle w:val="BodyText"/>
      </w:pPr>
      <w:r>
        <w:t xml:space="preserve">Представляется в налоговый орган по месту нахождения организации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X42abcbb50f239ea76059ac7a925e4b0787d0ade"/>
    <w:p>
      <w:pPr>
        <w:pStyle w:val="Heading2"/>
      </w:pPr>
      <w:r>
        <w:t xml:space="preserve">за 2026 год — объект налогообложения «доходы, уменьшённые на расходы»</w:t>
      </w:r>
    </w:p>
    <w:p>
      <w:pPr>
        <w:pStyle w:val="FirstParagraph"/>
      </w:pPr>
      <w:r>
        <w:t xml:space="preserve">25 марта 2027 г.</w:t>
      </w:r>
    </w:p>
    <w:p>
      <w:pPr>
        <w:pStyle w:val="BodyText"/>
      </w:pPr>
      <w:r>
        <w:t xml:space="preserve">Раздел 2.2. Строка 213 — доходы за налоговый период 11 600 000 рублей. Строка 223 — расходы за налоговый период 9 100 000 рублей. Строка 273 — сумма исчисленного налога 375 000 рублей.</w:t>
      </w:r>
    </w:p>
    <w:p>
      <w:pPr>
        <w:pStyle w:val="BodyText"/>
      </w:pPr>
      <w:r>
        <w:t xml:space="preserve">Строка 280 — сумма минимального налога 116 000 рублей. К уплате подлежит налог, исчисленный в обычном порядке, — 375 000 рублей.</w:t>
      </w:r>
    </w:p>
    <w:p>
      <w:pPr>
        <w:pStyle w:val="BodyText"/>
      </w:pPr>
      <w:r>
        <w:t xml:space="preserve">Раздел 1.2. Сумма налога к доплате за налоговый период — 375 000 рублей, в том числе по срокам уплаты согласно приложению.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ИП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2026-11-05T20:30:48Z</dcterms:created>
  <dcterms:modified xsi:type="dcterms:W3CDTF">2026-11-05T20:30:48Z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