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 ____________________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bookmarkStart w:id="10" w:name="X18d1b5664be6dbe98b009015e558b2f224c64de"/>
    <w:p>
      <w:pPr>
        <w:pStyle w:val="Heading1"/>
      </w:pPr>
      <w:r>
        <w:t xml:space="preserve">Декларация по налогу на добавленную стоимость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27 апреля 2026 г.</w:t>
      </w:r>
    </w:p>
    <w:p>
      <w:pPr>
        <w:pStyle w:val="BodyText"/>
      </w:pPr>
      <w:r>
        <w:t xml:space="preserve">Раздел 1. Сумма налога, подлежащая уплате в бюджет (возмещению из бюджета), по данным налогоплательщика. Строка 040 — 120 000 руб.</w:t>
      </w:r>
    </w:p>
    <w:p>
      <w:pPr>
        <w:pStyle w:val="BodyText"/>
      </w:pPr>
      <w:r>
        <w:t xml:space="preserve">Раздел 3. Расчёт суммы налога, подлежащей уплате в бюджет по операциям, облагаемым по налоговым ставкам, предусмотренным пунктами 1–4, 8 статьи 164, пунктом 3 статьи 174.3 Налогового кодекса Российской Федерации. Сумма НДС по ставке 22% — 110 000 руб., по ставке 10% — 10 000 руб.</w:t>
      </w:r>
    </w:p>
    <w:p>
      <w:pPr>
        <w:pStyle w:val="BodyText"/>
      </w:pPr>
      <w:r>
        <w:t xml:space="preserve">Раздел 8. Сведения из книги покупок об операциях, отражаемых за истёкший налоговый период. Записей — 15.</w:t>
      </w:r>
    </w:p>
    <w:p>
      <w:pPr>
        <w:pStyle w:val="BodyText"/>
      </w:pPr>
      <w:r>
        <w:t xml:space="preserve">Раздел 9. Сведения из книги продаж об операциях, отражаемых за истёкший налоговый период. Записей — 20.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налогу на добавленную стоимость</dc:title>
  <dc:creator/>
  <dc:language>ru</dc:language>
  <cp:keywords/>
  <dcterms:created xsi:type="dcterms:W3CDTF">2026-10-28T22:22:02Z</dcterms:created>
  <dcterms:modified xsi:type="dcterms:W3CDTF">2026-10-28T22:22:02Z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