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Дефектный акт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Утверждаю: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ефектный-акт"/>
    <w:p>
      <w:pPr>
        <w:pStyle w:val="Heading1"/>
      </w:pPr>
      <w:r>
        <w:t xml:space="preserve">Дефектный акт</w:t>
      </w:r>
    </w:p>
    <w:bookmarkStart w:id="9" w:name="о-неисправности-токарного-станка"/>
    <w:p>
      <w:pPr>
        <w:pStyle w:val="Heading2"/>
      </w:pPr>
      <w:r>
        <w:t xml:space="preserve">о неисправности токарного станка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 составила настоящий акт в том, что ____________________________________________________________________________________________________________________</w:t>
      </w:r>
    </w:p>
    <w:p>
      <w:pPr>
        <w:pStyle w:val="BodyText"/>
      </w:pPr>
      <w:r>
        <w:t xml:space="preserve">Описание дефектов, их местонахождение, объём: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 дефекта и заключение комиссии: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Дефектный акт</dc:title>
  <dc:creator/>
  <dc:language>ru</dc:language>
  <cp:keywords/>
  <dcterms:created xsi:type="dcterms:W3CDTF">2026-11-07T20:33:32Z</dcterms:created>
  <dcterms:modified xsi:type="dcterms:W3CDTF">2026-11-07T20:33:32Z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