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Брендбук пункта выдачи заказов Wildberries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a0f62e298a875822e09cfdc74d0a5cc7b4b214f"/>
    <w:p>
      <w:pPr>
        <w:pStyle w:val="Heading1"/>
      </w:pPr>
      <w:r>
        <w:t xml:space="preserve">Брендбук пункта выдачи заказов Wildberries</w:t>
      </w:r>
    </w:p>
    <w:bookmarkStart w:id="9" w:name="руководство-по-оформлению-и-ремонту-пвз"/>
    <w:p>
      <w:pPr>
        <w:pStyle w:val="Heading2"/>
      </w:pPr>
      <w:r>
        <w:t xml:space="preserve">руководство по оформлению и ремонту ПВЗ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Общие положения: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Требования к оформлению: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и порядок выполнения работ: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департамента развития ПВЗ РВБ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Брендбук пункта выдачи заказов Wildberries</dc:title>
  <dc:creator/>
  <dc:language>ru</dc:language>
  <cp:keywords/>
  <dcterms:created xsi:type="dcterms:W3CDTF">2026-11-03T20:31:33Z</dcterms:created>
  <dcterms:modified xsi:type="dcterms:W3CDTF">2026-11-03T20:31:33Z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