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ногтевого сервиса</w:t>
      </w:r>
    </w:p>
    <w:p>
      <w:pPr>
        <w:pStyle w:val="FirstParagraph"/>
      </w:pPr>
      <w:r>
        <w:t xml:space="preserve">Собственнику студии ногтевого сервиса</w:t>
      </w:r>
    </w:p>
    <w:p>
      <w:pPr>
        <w:pStyle w:val="BodyText"/>
      </w:pPr>
      <w:r>
        <w:t xml:space="preserve">для решения о запуске и контроля окупаемости</w:t>
      </w:r>
    </w:p>
    <w:bookmarkStart w:id="10" w:name="бизнес-план-ногтевого-сервиса"/>
    <w:p>
      <w:pPr>
        <w:pStyle w:val="Heading1"/>
      </w:pPr>
      <w:r>
        <w:t xml:space="preserve">Бизнес-план ногтевого сервиса</w:t>
      </w:r>
    </w:p>
    <w:bookmarkStart w:id="9" w:name="Xe8398d62af06f6a9014a9c4607e720821455959"/>
    <w:p>
      <w:pPr>
        <w:pStyle w:val="Heading2"/>
      </w:pPr>
      <w:r>
        <w:t xml:space="preserve">расчёт выручки, расходов и точки безубыточности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Студия на четыре рабочих места: два мастера маникюра, один мастер педикюра, одно место под наращивание. Режим — с 10 до 21 без выходных.</w:t>
      </w:r>
    </w:p>
    <w:p>
      <w:pPr>
        <w:pStyle w:val="BodyText"/>
      </w:pPr>
      <w:r>
        <w:t xml:space="preserve">Выручка считается по каждому месту отдельно: число клиентов в день × средний чек × рабочие дни. Загрузка в первые месяцы принимается ниже проектной, а не равной ей.</w:t>
      </w:r>
    </w:p>
    <w:p>
      <w:pPr>
        <w:pStyle w:val="BodyText"/>
      </w:pPr>
      <w:r>
        <w:t xml:space="preserve">Фонд оплаты труда — оклад или процент мастера плюс страховые взносы по единому тарифу 30 % в пределах базы и 15,1 % сверх неё. Взносы на травматизм — по тарифу класса риска, от 0,2 %.</w:t>
      </w:r>
    </w:p>
    <w:p>
      <w:pPr>
        <w:pStyle w:val="BodyText"/>
      </w:pPr>
      <w:r>
        <w:t xml:space="preserve">Постоянные расходы — аренда, коммунальные, реклама, амортизация оборудования, зарплата администратора. Переменные — материалы на процедуру и процент мастера.</w:t>
      </w:r>
    </w:p>
    <w:p>
      <w:pPr>
        <w:pStyle w:val="BodyText"/>
      </w:pPr>
      <w:r>
        <w:t xml:space="preserve">Точка безубыточности в клиентах = постоянные расходы за месяц / (средний чек − переменные расходы на клиента). Запас прочности = (план клиентов − точка безубыточности) / план клиентов.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Собственник студии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ногтевого сервиса</dc:title>
  <dc:creator/>
  <dc:language>ru</dc:language>
  <cp:keywords/>
  <dcterms:created xsi:type="dcterms:W3CDTF">2026-10-28T22:21:38Z</dcterms:created>
  <dcterms:modified xsi:type="dcterms:W3CDTF">2026-10-28T22:21:38Z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