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 ногтевого сервиса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изнес-план-ногтевого-сервиса"/>
    <w:p>
      <w:pPr>
        <w:pStyle w:val="Heading1"/>
      </w:pPr>
      <w:r>
        <w:t xml:space="preserve">Бизнес-план ногтевого сервиса</w:t>
      </w:r>
    </w:p>
    <w:bookmarkStart w:id="9" w:name="Xe8398d62af06f6a9014a9c4607e720821455959"/>
    <w:p>
      <w:pPr>
        <w:pStyle w:val="Heading2"/>
      </w:pPr>
      <w:r>
        <w:t xml:space="preserve">расчёт выручки, расходов и точки безубыточности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за проект: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 считаем выручку: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Фонд оплаты труда и взносы: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Расходы: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Безубыточность и запас прочности: 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ногтевого сервиса</dc:title>
  <dc:creator/>
  <dc:language>ru</dc:language>
  <cp:keywords/>
  <dcterms:created xsi:type="dcterms:W3CDTF">2026-10-28T22:21:38Z</dcterms:created>
  <dcterms:modified xsi:type="dcterms:W3CDTF">2026-10-28T22:21:38Z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