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кофейни</w:t>
      </w:r>
    </w:p>
    <w:p>
      <w:pPr>
        <w:pStyle w:val="FirstParagraph"/>
      </w:pPr>
      <w:r>
        <w:t xml:space="preserve">Инвестору проекта кофейни</w:t>
      </w:r>
    </w:p>
    <w:p>
      <w:pPr>
        <w:pStyle w:val="BodyText"/>
      </w:pPr>
      <w:r>
        <w:t xml:space="preserve">(наименование фонда или инвестора)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И. И. Иванова</w:t>
      </w:r>
    </w:p>
    <w:bookmarkStart w:id="10" w:name="бизнес-план-кофейни"/>
    <w:p>
      <w:pPr>
        <w:pStyle w:val="Heading1"/>
      </w:pPr>
      <w:r>
        <w:t xml:space="preserve">Бизнес-план кофейни</w:t>
      </w:r>
    </w:p>
    <w:bookmarkStart w:id="9" w:name="презентация-с-расчётами-для-инвестора"/>
    <w:p>
      <w:pPr>
        <w:pStyle w:val="Heading2"/>
      </w:pPr>
      <w:r>
        <w:t xml:space="preserve">презентация с расчётами для инвестора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Проект: кофейня на 30 посадочных мест в арендованном помещении площадью 60 кв. м рядом с бизнес-центром. Формат — кофе с собой и завтраки, режим работы с 7:30 до 21:00.</w:t>
      </w:r>
    </w:p>
    <w:p>
      <w:pPr>
        <w:pStyle w:val="BodyText"/>
      </w:pPr>
      <w:r>
        <w:t xml:space="preserve">Расчёты: объём вложений по статьям, план продаж по месяцам первого года, постоянные и переменные расходы, точка безубыточности, срок окупаемости, чувствительность к падению чека и росту аренды.</w:t>
      </w:r>
    </w:p>
    <w:p>
      <w:pPr>
        <w:pStyle w:val="BodyText"/>
      </w:pPr>
      <w:r>
        <w:t xml:space="preserve">Приложение: презентация на 14 слайдах, финансовая модель в таблице, смета оборудования, коммерческое предложение по аренде.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плана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кофейни</dc:title>
  <dc:creator/>
  <dc:language>ru</dc:language>
  <cp:keywords/>
  <dcterms:created xsi:type="dcterms:W3CDTF">2026-10-28T22:21:36Z</dcterms:created>
  <dcterms:modified xsi:type="dcterms:W3CDTF">2026-10-28T22:21:36Z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