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 глэмпинга</w:t>
      </w:r>
    </w:p>
    <w:p>
      <w:pPr>
        <w:pStyle w:val="FirstParagraph"/>
      </w:pPr>
      <w:r>
        <w:t xml:space="preserve">Собственнику проекта глэмпинга</w:t>
      </w:r>
    </w:p>
    <w:p>
      <w:pPr>
        <w:pStyle w:val="BodyText"/>
      </w:pPr>
      <w:r>
        <w:t xml:space="preserve">и инвестору</w:t>
      </w:r>
    </w:p>
    <w:p>
      <w:pPr>
        <w:pStyle w:val="BodyText"/>
      </w:pPr>
      <w:r>
        <w:t xml:space="preserve">от руководителя проекта</w:t>
      </w:r>
    </w:p>
    <w:p>
      <w:pPr>
        <w:pStyle w:val="BodyText"/>
      </w:pPr>
      <w:r>
        <w:t xml:space="preserve">И. И. Иванова</w:t>
      </w:r>
    </w:p>
    <w:bookmarkStart w:id="10" w:name="бизнес-план-глэмпинга"/>
    <w:p>
      <w:pPr>
        <w:pStyle w:val="Heading1"/>
      </w:pPr>
      <w:r>
        <w:t xml:space="preserve">Бизнес-план глэмпинга</w:t>
      </w:r>
    </w:p>
    <w:bookmarkStart w:id="9" w:name="X9c858f115a54edd64c7af95979ef1d97587ca5a"/>
    <w:p>
      <w:pPr>
        <w:pStyle w:val="Heading2"/>
      </w:pPr>
      <w:r>
        <w:t xml:space="preserve">с расчётами по доходам, расходам и окупаемости</w:t>
      </w:r>
    </w:p>
    <w:p>
      <w:pPr>
        <w:pStyle w:val="FirstParagraph"/>
      </w:pPr>
      <w:r>
        <w:t xml:space="preserve">6 ноября 2026 г. № 1</w:t>
      </w:r>
    </w:p>
    <w:p>
      <w:pPr>
        <w:pStyle w:val="BodyText"/>
      </w:pPr>
      <w:r>
        <w:t xml:space="preserve">Проект — глэмпинг на 12 модульных домиков на участке 1,5 га в 40 км от областного центра, рядом с рекой и лесным массивом. Участок в долгосрочной аренде, подъезд круглогодичный, электричество 100 кВт, вода из скважины.</w:t>
      </w:r>
    </w:p>
    <w:p>
      <w:pPr>
        <w:pStyle w:val="BodyText"/>
      </w:pPr>
      <w:r>
        <w:t xml:space="preserve">Цель плана — оценить, сколько стоит открыть глэмпинг, какую выручку он даст при реалистичной загрузке и за какой срок вернёт вложения. Расчётная часть построена на трёх сценариях загрузки и отдельной строкой показывает точку безубыточности.</w:t>
      </w:r>
    </w:p>
    <w:p>
      <w:pPr>
        <w:pStyle w:val="BodyText"/>
      </w:pPr>
      <w:r>
        <w:t xml:space="preserve">Прошу рассмотреть план для решения о финансировании первой очереди — 8 домиков и общей инфраструктуры. Вторая очередь запускается на собственные средства после выхода на плановую загрузку.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Разработчик плана</w:t>
            </w:r>
          </w:p>
          <w:p>
            <w:pPr>
              <w:pStyle w:val="BodyText"/>
            </w:pPr>
            <w:r>
              <w:t xml:space="preserve">Руководитель проекта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 глэмпинга</dc:title>
  <dc:creator/>
  <dc:language>ru</dc:language>
  <cp:keywords/>
  <dcterms:created xsi:type="dcterms:W3CDTF">2026-11-07T20:33:11Z</dcterms:created>
  <dcterms:modified xsi:type="dcterms:W3CDTF">2026-11-07T20:33:11Z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