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нежилого помещения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говор-аренды-нежилого-помещения"/>
    <w:p>
      <w:pPr>
        <w:pStyle w:val="Heading1"/>
      </w:pPr>
      <w:r>
        <w:t xml:space="preserve">Договор аренды нежилого помещения</w:t>
      </w:r>
    </w:p>
    <w:bookmarkStart w:id="9" w:name="без-указания-срока-аренды"/>
    <w:p>
      <w:pPr>
        <w:pStyle w:val="Heading2"/>
      </w:pPr>
      <w:r>
        <w:t xml:space="preserve">без указания срока аренды</w:t>
      </w:r>
    </w:p>
    <w:p>
      <w:pPr>
        <w:pStyle w:val="FirstParagraph"/>
      </w:pPr>
      <w:r>
        <w:t xml:space="preserve">№ 7/2026</w:t>
      </w:r>
    </w:p>
    <w:p>
      <w:pPr>
        <w:pStyle w:val="BodyText"/>
      </w:pPr>
      <w:r>
        <w:t xml:space="preserve">ООО «Ромашка», именуемое в дальнейшем «Арендодатель», в лице генерального директора П. П. Петрова, действующего на основании устава, с одной стороны и ООО «Лютик», именуемое в дальнейшем «Арендатор», в лице директора И. И. Иванова, действующего на основании устава, с другой стороны заключили настоящий договор о нижеследующем.</w:t>
      </w:r>
    </w:p>
    <w:p>
      <w:pPr>
        <w:pStyle w:val="BodyText"/>
      </w:pPr>
      <w:r>
        <w:t xml:space="preserve">1. Предмет договора. Арендодатель передаёт, а Арендатор принимает во временное владение и пользование нежилое помещение общей площадью 120 кв. м, кадастровый номер 77:01:0000000:1234, расположенное по адресу: г. Москва, ул. Примерная, д. 10, пом. 3, для использования под офис. Помещение принадлежит Арендодателю на праве собственности, запись в ЕГРН от 12 марта 2021 г. № 77:01:0000000:1234-77/001/2021-1.</w:t>
      </w:r>
    </w:p>
    <w:p>
      <w:pPr>
        <w:pStyle w:val="BodyText"/>
      </w:pPr>
      <w:r>
        <w:t xml:space="preserve">2. Срок аренды. Договор заключён без указания срока. Арендатор вправе пользоваться помещением, пока договор не прекращён по основаниям, предусмотренным законом или настоящим договором.</w:t>
      </w:r>
    </w:p>
    <w:p>
      <w:pPr>
        <w:pStyle w:val="BodyText"/>
      </w:pPr>
      <w:r>
        <w:t xml:space="preserve">3. Арендная плата. За пользование помещением Арендатор платит 90 000 рублей в месяц. Плата включает коммунальные услуги, кроме электроэнергии, которую Арендатор оплачивает по счётчику. Плата вносится не позднее 10-го числа текущего месяца на расчётный счёт Арендодателя. Размер платы может меняться по соглашению сторон, оформленному письменно.</w:t>
      </w:r>
    </w:p>
    <w:p>
      <w:pPr>
        <w:pStyle w:val="BodyText"/>
      </w:pPr>
      <w:r>
        <w:t xml:space="preserve">4. Передача помещения. Помещение передаётся по акту приёма-передачи в течение 5 рабочих дней с даты подписания договора. Акт подписывают обе стороны; с даты подписания акта помещение считается переданным.</w:t>
      </w:r>
    </w:p>
    <w:p>
      <w:pPr>
        <w:pStyle w:val="BodyText"/>
      </w:pPr>
      <w:r>
        <w:t xml:space="preserve">5. Права и обязанности сторон. Арендодатель обязуется передать помещение в состоянии, пригодном для использования по назначению, и производить капитальный ремонт. Арендатор обязуется пользоваться помещением по назначению, вносить плату в срок, поддерживать помещение в исправном состоянии и производить текущий ремонт.</w:t>
      </w:r>
    </w:p>
    <w:p>
      <w:pPr>
        <w:pStyle w:val="BodyText"/>
      </w:pPr>
      <w:r>
        <w:t xml:space="preserve">6. Расторжение договора. Каждая сторона вправе в любое время отказаться от договора, предупредив другую сторону за 3 месяца. Если Арендатор более двух раз подряд не внёс плату по истечении установленного срока, Арендодатель вправе требовать расторжения договора в суде после письменного предупреждения о необходимости исполнить обязательство в разумный срок.</w:t>
      </w:r>
    </w:p>
    <w:p>
      <w:pPr>
        <w:pStyle w:val="BodyText"/>
      </w:pPr>
      <w:r>
        <w:t xml:space="preserve">7. Прочие условия. Договор вступает в силу с даты подписания и действует до прекращения. Споры стороны решают путём переговоров, а при недостижении согласия — в арбитражном суде по месту нахождения помещения.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Директор ООО «Лютик»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нежилого помещения</dc:title>
  <dc:creator/>
  <dc:language>ru</dc:language>
  <cp:keywords/>
  <dcterms:created xsi:type="dcterms:W3CDTF">2026-11-06T21:42:06Z</dcterms:created>
  <dcterms:modified xsi:type="dcterms:W3CDTF">2026-11-06T21:42:06Z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