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доходов и расходов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Центр финансовой ответственности: коммерческая служба</w:t>
      </w:r>
    </w:p>
    <w:p>
      <w:pPr>
        <w:pStyle w:val="BodyText"/>
      </w:pPr>
      <w:r>
        <w:t xml:space="preserve">Период: 01.01.2027 — 31.12.2027</w:t>
      </w:r>
    </w:p>
    <w:bookmarkStart w:id="10" w:name="бюджет-доходов-и-расходов"/>
    <w:p>
      <w:pPr>
        <w:pStyle w:val="Heading1"/>
      </w:pPr>
      <w:r>
        <w:t xml:space="preserve">Бюджет доходов и расходов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Утверждён 15 декабря 2026 г.</w:t>
      </w:r>
    </w:p>
    <w:p>
      <w:pPr>
        <w:pStyle w:val="BodyText"/>
      </w:pPr>
      <w:r>
        <w:t xml:space="preserve">Доходы от продаж: выручка по отгрузке без НДС — 48 000 000 рублей, в том числе постоянным клиентам 31 000 000 рублей, новым клиентам 17 000 000 рублей.</w:t>
      </w:r>
    </w:p>
    <w:p>
      <w:pPr>
        <w:pStyle w:val="BodyText"/>
      </w:pPr>
      <w:r>
        <w:t xml:space="preserve">Расходы: себестоимость 26 000 000 рублей, коммерческие расходы 6 500 000 рублей, административные 5 200 000 рублей.</w:t>
      </w:r>
    </w:p>
    <w:p>
      <w:pPr>
        <w:pStyle w:val="BodyText"/>
      </w:pPr>
      <w:r>
        <w:t xml:space="preserve">Финансовый результат: валовая прибыль 22 000 000 рублей, операционная прибыль 10 300 000 рублей, налог на прибыль по общей ставке 25 % — 2 575 000 рублей, чистая прибыль 7 725 000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доходов и расходов</dc:title>
  <dc:creator/>
  <dc:language>ru</dc:language>
  <cp:keywords/>
  <dcterms:created xsi:type="dcterms:W3CDTF">2026-11-05T20:30:41Z</dcterms:created>
  <dcterms:modified xsi:type="dcterms:W3CDTF">2026-11-05T20:30:41Z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