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Банковская гарантия</w:t>
      </w:r>
    </w:p>
    <w:p>
      <w:pPr>
        <w:pStyle w:val="FirstParagraph"/>
      </w:pPr>
      <w:r>
        <w:t xml:space="preserve">Бенефициару: ООО «Ромашка»</w:t>
      </w:r>
    </w:p>
    <w:p>
      <w:pPr>
        <w:pStyle w:val="BodyText"/>
      </w:pPr>
      <w:r>
        <w:t xml:space="preserve">ИНН 7701234567, 125009, г. Москва, ул. Тверская, д. 1</w:t>
      </w:r>
    </w:p>
    <w:p>
      <w:pPr>
        <w:pStyle w:val="BodyText"/>
      </w:pPr>
      <w:r>
        <w:t xml:space="preserve">Гарант: КБ «Пример» (ООО), лицензия Банка России № 0000</w:t>
      </w:r>
    </w:p>
    <w:p>
      <w:pPr>
        <w:pStyle w:val="BodyText"/>
      </w:pPr>
      <w:r>
        <w:t xml:space="preserve">Принципал: ООО «Василёк», ИНН 7809876543</w:t>
      </w:r>
    </w:p>
    <w:bookmarkStart w:id="10" w:name="банковская-гарантия"/>
    <w:p>
      <w:pPr>
        <w:pStyle w:val="Heading1"/>
      </w:pPr>
      <w:r>
        <w:t xml:space="preserve">Банковская гарантия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47-БГ</w:t>
      </w:r>
    </w:p>
    <w:p>
      <w:pPr>
        <w:pStyle w:val="BodyText"/>
      </w:pPr>
      <w:r>
        <w:t xml:space="preserve">КБ «Пример» (ООО), именуемый далее Гарант, в лице управляющего дополнительным офисом П. П. Петрова, действующего на основании доверенности от 10.01.2026 № 3, по просьбе ООО «Василёк», именуемого далее Принципал, выдаёт ООО «Ромашка», именуемому далее Бенефициар, настоящую банковскую гарантию на следующих условиях.</w:t>
      </w:r>
    </w:p>
    <w:p>
      <w:pPr>
        <w:pStyle w:val="BodyText"/>
      </w:pPr>
      <w:r>
        <w:t xml:space="preserve">Гарант обязуется уплатить Бенефициару по его первому письменному требованию сумму в размере не более 4 500 000 рублей, если Принципал не исполнит или исполнит ненадлежащим образом обязательства по договору поставки от 01.10.2026 № 12/П — поставку и оплату товара в сроки по договору.</w:t>
      </w:r>
    </w:p>
    <w:p>
      <w:pPr>
        <w:pStyle w:val="BodyText"/>
      </w:pPr>
      <w:r>
        <w:t xml:space="preserve">Гарантия действует с 12 ноября 2026 года по 31 марта 2027 года включительно. Гарантия безотзывная: Гарант не вправе отозвать её или изменить её условия в одностороннем порядке.</w:t>
      </w:r>
    </w:p>
    <w:p>
      <w:pPr>
        <w:pStyle w:val="BodyText"/>
      </w:pPr>
      <w:r>
        <w:t xml:space="preserve">Требование Бенефициара подаётся в письменной форме с приложением документов, указанных в гарантии, и должно быть предъявлено до окончания срока её действия. Гарант рассматривает требование в срок, установленный законом, и перечисляет сумму на счёт Бенефициара.</w:t>
      </w:r>
    </w:p>
    <w:p>
      <w:pPr>
        <w:pStyle w:val="BodyText"/>
      </w:pPr>
      <w:r>
        <w:t xml:space="preserve">Гарантия выдана в обеспечение обязательств по договору поставки от 01.10.2026 № 12/П. Споры по гарантии рассматриваются в арбитражном суде по месту нахождения Гаранта.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</w:t>
            </w:r>
          </w:p>
          <w:p>
            <w:pPr>
              <w:pStyle w:val="BodyText"/>
            </w:pPr>
            <w:r>
              <w:t xml:space="preserve">Управляющий дополнительным офисом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 (ознакомлен)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</dc:title>
  <dc:creator/>
  <dc:language>ru</dc:language>
  <cp:keywords/>
  <dcterms:created xsi:type="dcterms:W3CDTF">2026-11-04T20:30:56Z</dcterms:created>
  <dcterms:modified xsi:type="dcterms:W3CDTF">2026-11-04T20:30:56Z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