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Подотчётное лицо: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Назначение аванса: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Получен аванс в сумме ______________ рублей. Израсходовано ______________ рублей, в том числе: ________________________________________________________________________</w:t>
      </w:r>
    </w:p>
    <w:p>
      <w:pPr>
        <w:pStyle w:val="BodyText"/>
      </w:pPr>
      <w:r>
        <w:t xml:space="preserve">Остаток аванса ______________ рублей внесён в кассу «___» __________ 20__ г. / Перерасход ______________ рублей возместить.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2026-11-03T20:31:24Z</dcterms:created>
  <dcterms:modified xsi:type="dcterms:W3CDTF">2026-11-03T20:31:24Z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