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 ООО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Единственный участник</w:t>
      </w:r>
    </w:p>
    <w:bookmarkStart w:id="10" w:name="решение-единственного-участника-ооо"/>
    <w:p>
      <w:pPr>
        <w:pStyle w:val="Heading1"/>
      </w:pPr>
      <w:r>
        <w:t xml:space="preserve">Решение единственного участника ООО</w:t>
      </w:r>
    </w:p>
    <w:bookmarkStart w:id="9" w:name="X909b2b534262772d055498dcedd00b22c3ef581"/>
    <w:p>
      <w:pPr>
        <w:pStyle w:val="Heading2"/>
      </w:pPr>
      <w:r>
        <w:t xml:space="preserve">о выборе альтернативного способа подтверждения принятия решений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Краткая характеристика общества: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должность (при наличии)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 ООО</dc:title>
  <dc:creator/>
  <dc:language>ru</dc:language>
  <cp:keywords/>
  <dcterms:created xsi:type="dcterms:W3CDTF">2026-11-06T21:41:54Z</dcterms:created>
  <dcterms:modified xsi:type="dcterms:W3CDTF">2026-11-06T21:41:54Z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