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выбытия малоценных и быстроизнашивающихся предметов № 7</w:t>
      </w:r>
    </w:p>
    <w:p>
      <w:pPr>
        <w:pStyle w:val="FirstParagraph"/>
      </w:pPr>
      <w:r>
        <w:t xml:space="preserve">ООО «Ромашка», ОКПО 12345678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16 ноября 2026 г.</w:t>
      </w:r>
    </w:p>
    <w:bookmarkStart w:id="10" w:name="X681fd52f768523c08cce851d423288328d9f5d2"/>
    <w:p>
      <w:pPr>
        <w:pStyle w:val="Heading1"/>
      </w:pPr>
      <w:r>
        <w:t xml:space="preserve">Акт выбытия малоценных и быстроизнашивающихся предметов № 7</w:t>
      </w:r>
    </w:p>
    <w:bookmarkStart w:id="9" w:name="по-форме-мб-4"/>
    <w:p>
      <w:pPr>
        <w:pStyle w:val="Heading2"/>
      </w:pPr>
      <w:r>
        <w:t xml:space="preserve">по форме МБ-4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Предмет: ноутбук, номенклатурный номер 08-114, 1 шт., цена 48 000 руб. без НДС, сумма 48 000 руб. Причина выбытия: разбит экран при падении со стола.</w:t>
      </w:r>
    </w:p>
    <w:p>
      <w:pPr>
        <w:pStyle w:val="BodyText"/>
      </w:pPr>
      <w:r>
        <w:t xml:space="preserve">Мастер участка установил: ноутбук закреплён за менеджером С. А. Кузнецовым, табельный номер 214, выдан 12 января 2026 года под подпись. При осмотре 16 ноября 2026 года экран разбит, корпус деформирован, ремонт нецелесообразен.</w:t>
      </w:r>
    </w:p>
    <w:p>
      <w:pPr>
        <w:pStyle w:val="BodyText"/>
      </w:pPr>
      <w:r>
        <w:t xml:space="preserve">Остаточная стоимость за вычетом амортизации — 32 000 руб. Размер ущерба и порядок его возмещения определяются после проверки обстоятельств. Удержание из заработной платы производится с соблюдением статей 138, 241 и 248 ТК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Мастер (исполнитель работ)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В. П.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Сдавший предмет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выбытия малоценных и быстроизнашивающихся предметов № 7</dc:title>
  <dc:creator/>
  <dc:language>ru</dc:language>
  <cp:keywords/>
  <dcterms:created xsi:type="dcterms:W3CDTF">2026-11-07T20:32:45Z</dcterms:created>
  <dcterms:modified xsi:type="dcterms:W3CDTF">2026-11-07T20:32:45Z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