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списания материальных ценностей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Утверждаю: 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списания-материальных-ценностей"/>
    <w:p>
      <w:pPr>
        <w:pStyle w:val="Heading1"/>
      </w:pPr>
      <w:r>
        <w:t xml:space="preserve">Акт списания материальных ценностей</w:t>
      </w:r>
    </w:p>
    <w:bookmarkStart w:id="9" w:name="Xb75b16d741e74a1bc775dc5de82f0bbde6db2cc"/>
    <w:p>
      <w:pPr>
        <w:pStyle w:val="Heading2"/>
      </w:pPr>
      <w:r>
        <w:t xml:space="preserve">о списании материалов, пришедших в негодность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Комиссия в составе: 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негодности: ________________________________________________________________________________________________________________</w:t>
      </w:r>
    </w:p>
    <w:p>
      <w:pPr>
        <w:pStyle w:val="BodyText"/>
      </w:pPr>
      <w:r>
        <w:t xml:space="preserve">Заключение комиссии: 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материальных ценностей</dc:title>
  <dc:creator/>
  <dc:language>ru</dc:language>
  <cp:keywords/>
  <dcterms:created xsi:type="dcterms:W3CDTF">2026-10-28T21:41:55Z</dcterms:created>
  <dcterms:modified xsi:type="dcterms:W3CDTF">2026-10-28T21:41:55Z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