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</w:t>
      </w:r>
    </w:p>
    <w:p>
      <w:pPr>
        <w:pStyle w:val="BodyText"/>
      </w:pPr>
      <w:r>
        <w:t xml:space="preserve">ООО «Василёк»</w:t>
      </w:r>
    </w:p>
    <w:p>
      <w:pPr>
        <w:pStyle w:val="BodyText"/>
      </w:pPr>
      <w:r>
        <w:t xml:space="preserve">ИНН 7707654321</w:t>
      </w:r>
    </w:p>
    <w:bookmarkStart w:id="10" w:name="акт"/>
    <w:p>
      <w:pPr>
        <w:pStyle w:val="Heading1"/>
      </w:pPr>
      <w:r>
        <w:t xml:space="preserve">Акт</w:t>
      </w:r>
    </w:p>
    <w:bookmarkStart w:id="9" w:name="X6685fea00998021377231a5fd03e5840d70d8a0"/>
    <w:p>
      <w:pPr>
        <w:pStyle w:val="Heading2"/>
      </w:pPr>
      <w:r>
        <w:t xml:space="preserve">приёма-передачи оборудования по договору поставки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ООО «Ромашка» передало, а ООО «Василёк» приняло оборудование по договору поставки от 12 октября 2026 г. № 47: сервер в сборе, серийный номер 4417-2026, стоимость 240 000 рублей. Претензий к комплектности и внешнему виду нет.</w:t>
      </w:r>
    </w:p>
    <w:p>
      <w:pPr>
        <w:pStyle w:val="BodyText"/>
      </w:pPr>
      <w:r>
        <w:t xml:space="preserve">Акт составлен в двух экземплярах, имеющих равную юридическую силу, по одному экземпляру каждой стороне. Экземпляр ООО «Ромашка» хранится у поставщика, экземпляр ООО «Василёк» передан представителю покупателя при подписании.</w:t>
      </w:r>
    </w:p>
    <w:p>
      <w:pPr>
        <w:pStyle w:val="BodyText"/>
      </w:pPr>
      <w:r>
        <w:t xml:space="preserve">Приложение: товарная накладная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Передал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Генеральный директор ООО «Василёк»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/>
  <dc:language>ru</dc:language>
  <cp:keywords/>
  <dcterms:created xsi:type="dcterms:W3CDTF">2026-11-06T21:41:09Z</dcterms:created>
  <dcterms:modified xsi:type="dcterms:W3CDTF">2026-11-06T21:41:09Z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