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согласования технологической и (или) аварийной брони электроснабжения</w:t>
      </w:r>
    </w:p>
    <w:p>
      <w:pPr>
        <w:pStyle w:val="FirstParagraph"/>
      </w:pPr>
      <w:r>
        <w:t xml:space="preserve">Сетевая организация: ПАО «Россети Центр»</w:t>
      </w:r>
    </w:p>
    <w:p>
      <w:pPr>
        <w:pStyle w:val="BodyText"/>
      </w:pPr>
      <w:r>
        <w:t xml:space="preserve">Потребитель: ООО «Завод «Прогресс»</w:t>
      </w:r>
    </w:p>
    <w:p>
      <w:pPr>
        <w:pStyle w:val="BodyText"/>
      </w:pPr>
      <w:r>
        <w:t xml:space="preserve">Объект: производственный корпус, г. Тула, ул. Заводская, 15</w:t>
      </w:r>
    </w:p>
    <w:bookmarkStart w:id="10" w:name="X1fcae93ed6d2575c9e7400e8b7349e47403cca1"/>
    <w:p>
      <w:pPr>
        <w:pStyle w:val="Heading1"/>
      </w:pPr>
      <w:r>
        <w:t xml:space="preserve">Акт согласования технологической и (или) аварийной брони электроснабжения</w:t>
      </w:r>
    </w:p>
    <w:bookmarkStart w:id="9" w:name="Xf8d68b6bf13aecf230b67da14d2b49b303d66c4"/>
    <w:p>
      <w:pPr>
        <w:pStyle w:val="Heading2"/>
      </w:pPr>
      <w:r>
        <w:t xml:space="preserve">потребителя электрической энергии (мощности)</w:t>
      </w:r>
    </w:p>
    <w:p>
      <w:pPr>
        <w:pStyle w:val="FirstParagraph"/>
      </w:pPr>
      <w:r>
        <w:t xml:space="preserve">«15» марта 2026 г.</w:t>
      </w:r>
    </w:p>
    <w:p>
      <w:pPr>
        <w:pStyle w:val="BodyText"/>
      </w:pPr>
      <w:r>
        <w:t xml:space="preserve">Настоящий акт составлен в соответствии с Правилами технологического присоединения энергопринимающих устройств потребителей электрической энергии, утверждёнными постановлением Правительства РФ от 27.12.2004 № 861, и определяет величину технологической и аварийной брони, а также перечень электроприёмников, отключение которых при аварии недопустимо.</w:t>
      </w:r>
    </w:p>
    <w:p>
      <w:pPr>
        <w:pStyle w:val="BodyText"/>
      </w:pPr>
      <w:r>
        <w:t xml:space="preserve">Технологическая броня: 250 кВт. Перечень энергопринимающих устройств: печь плавильная № 1, компрессорная станция, система аварийной вентиляции. Аварийная броня: 80 кВт. Перечень: освещение цеха, насосы пожаротушения, система оповещения.</w:t>
      </w:r>
    </w:p>
    <w:p>
      <w:pPr>
        <w:pStyle w:val="BodyText"/>
      </w:pPr>
      <w:r>
        <w:t xml:space="preserve">Сроки и объёмы сокращения электроснабжения до уровня аварийной брони: при введении графика аварийного ограничения — 60 минут с момента уведомления.</w:t>
      </w:r>
    </w:p>
    <w:p>
      <w:pPr>
        <w:pStyle w:val="BodyText"/>
      </w:pPr>
      <w:r>
        <w:t xml:space="preserve">Приложение: принципиальная однолинейная электрическая схема электроснабжения объекта на 2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Сетевая организация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С. П.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Потребитель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согласования технологической и (или) аварийной брони электроснабжения</dc:title>
  <dc:creator/>
  <dc:language>ru</dc:language>
  <cp:keywords/>
  <dcterms:created xsi:type="dcterms:W3CDTF">2026-11-01T20:30:57Z</dcterms:created>
  <dcterms:modified xsi:type="dcterms:W3CDTF">2026-11-01T20:30:57Z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