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Застройщик: ООО «Ромашка»</w:t>
      </w:r>
    </w:p>
    <w:p>
      <w:pPr>
        <w:pStyle w:val="BodyText"/>
      </w:pPr>
      <w:r>
        <w:t xml:space="preserve">Лицо, осуществляющее строительство: ООО «Строймонтаж»</w:t>
      </w:r>
    </w:p>
    <w:p>
      <w:pPr>
        <w:pStyle w:val="BodyText"/>
      </w:pPr>
      <w:r>
        <w:t xml:space="preserve">Лицо, осуществляющее строительный контроль: ООО «Технадзор»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X8b55ae037302972c286c8d9d62a857681069c96"/>
    <w:p>
      <w:pPr>
        <w:pStyle w:val="Heading2"/>
      </w:pPr>
      <w:r>
        <w:t xml:space="preserve">устройство гидроизоляции фундамента на объекте «Жилой дом по ул. Садовой, 12»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Освидетельствованы скрытые работы: устройство гидроизоляции фундамента по оси А между осями 1–5, выполненные по проектной документации шифр 2026-14-КЖ.</w:t>
      </w:r>
    </w:p>
    <w:p>
      <w:pPr>
        <w:pStyle w:val="BodyText"/>
      </w:pPr>
      <w:r>
        <w:t xml:space="preserve">Работы выполнены из материалов: мастика битумная — сертификат соответствия № 1234, срок действия до 01.03.2027.</w:t>
      </w:r>
    </w:p>
    <w:p>
      <w:pPr>
        <w:pStyle w:val="BodyText"/>
      </w:pPr>
      <w:r>
        <w:t xml:space="preserve">Заключение: работы выполнены в соответствии с проектной документацией и требованиями технических регламентов, разрешается производство последующих работ по обратной засыпке.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строительного контроля</w:t>
            </w:r>
          </w:p>
          <w:p>
            <w:pPr>
              <w:pStyle w:val="BodyText"/>
            </w:pPr>
            <w:r>
              <w:t xml:space="preserve">Инженер технадзора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застройщика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2026-10-28T21:41:52Z</dcterms:created>
  <dcterms:modified xsi:type="dcterms:W3CDTF">2026-10-28T21:41:52Z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