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разграничения эксплуатационной ответственности</w:t>
      </w:r>
    </w:p>
    <w:p>
      <w:pPr>
        <w:pStyle w:val="FirstParagraph"/>
      </w:pPr>
      <w:r>
        <w:t xml:space="preserve">ООО «Водоканал-Сервис», именуемое гарантирующей организацией,</w:t>
      </w:r>
    </w:p>
    <w:p>
      <w:pPr>
        <w:pStyle w:val="BodyText"/>
      </w:pPr>
      <w:r>
        <w:t xml:space="preserve">в лице главного инженера С. А. Кузнецова, действующего на основании доверенности от 12.01.2026 № 4,</w:t>
      </w:r>
    </w:p>
    <w:p>
      <w:pPr>
        <w:pStyle w:val="BodyText"/>
      </w:pPr>
      <w:r>
        <w:t xml:space="preserve">и ООО «Ромашка», именуемое абонентом, в лице директора П. П. Петрова, действующего на основании устава,</w:t>
      </w:r>
    </w:p>
    <w:p>
      <w:pPr>
        <w:pStyle w:val="BodyText"/>
      </w:pPr>
      <w:r>
        <w:t xml:space="preserve">составили настоящий акт о нижеследующем.</w:t>
      </w:r>
    </w:p>
    <w:bookmarkStart w:id="10" w:name="Xe2e2c04b79ec5ccd5bd3364407cbc797a3448fb"/>
    <w:p>
      <w:pPr>
        <w:pStyle w:val="Heading1"/>
      </w:pPr>
      <w:r>
        <w:t xml:space="preserve">Акт разграничения эксплуатационной ответственности</w:t>
      </w:r>
    </w:p>
    <w:bookmarkStart w:id="9" w:name="по-сетям-водоснабжения-и-канализации"/>
    <w:p>
      <w:pPr>
        <w:pStyle w:val="Heading2"/>
      </w:pPr>
      <w:r>
        <w:t xml:space="preserve">по сетям водоснабжения и канализации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Граница балансовой принадлежности по водопроводным сетям — точка присоединения водопроводного ввода абонента к городскому водопроводу диаметром 100 мм в колодце ВК-3 по адресу: г. Тверь, ул. Заводская, д. 12. Участок водопроводного ввода от наружной стены здания до колодца ВК-3 находится на балансе абонента.</w:t>
      </w:r>
    </w:p>
    <w:p>
      <w:pPr>
        <w:pStyle w:val="BodyText"/>
      </w:pPr>
      <w:r>
        <w:t xml:space="preserve">Граница эксплуатационной ответственности совпадает с границей балансовой принадлежности. Абонент отвечает за исправность и обслуживание водопроводного ввода от наружной стены здания до колодца ВК-3, гарантирующая организация — за городской водопровод до этой точки включительно.</w:t>
      </w:r>
    </w:p>
    <w:p>
      <w:pPr>
        <w:pStyle w:val="BodyText"/>
      </w:pPr>
      <w:r>
        <w:t xml:space="preserve">По канализационным сетям граница балансовой принадлежности — первый смотровой колодец на выпуске из здания. Участок от выпуска до колодца обслуживает абонент, далее — гарантирующая организация.</w:t>
      </w:r>
    </w:p>
    <w:p>
      <w:pPr>
        <w:pStyle w:val="BodyText"/>
      </w:pPr>
      <w:r>
        <w:t xml:space="preserve">Схема разграничения с указанием колодцев, диаметров и протяжённости участков прилагается на 1 л. в 1 экз. и является неотъемлемой частью акта.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Гарантирующая организация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А.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Абонент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разграничения эксплуатационной ответственности</dc:title>
  <dc:creator/>
  <dc:language>ru</dc:language>
  <cp:keywords/>
  <dcterms:created xsi:type="dcterms:W3CDTF">2026-11-01T20:30:54Z</dcterms:created>
  <dcterms:modified xsi:type="dcterms:W3CDTF">2026-11-01T20:30:54Z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