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разграничения балансовой принадлежности тепловых сетей</w:t>
      </w:r>
    </w:p>
    <w:p>
      <w:pPr>
        <w:pStyle w:val="FirstParagraph"/>
      </w:pPr>
      <w:r>
        <w:t xml:space="preserve">Общество с ограниченной ответственностью «Волжские тепловые сети»</w:t>
      </w:r>
    </w:p>
    <w:p>
      <w:pPr>
        <w:pStyle w:val="BodyText"/>
      </w:pPr>
      <w:r>
        <w:t xml:space="preserve">в лице главного инженера С. А. Кузнецова, действующего на основании доверенности от 12.01.2026 № 4</w:t>
      </w:r>
    </w:p>
    <w:p>
      <w:pPr>
        <w:pStyle w:val="BodyText"/>
      </w:pPr>
      <w:r>
        <w:t xml:space="preserve">и Общество с ограниченной ответственностью «Управляющая компания «Дом»</w:t>
      </w:r>
    </w:p>
    <w:p>
      <w:pPr>
        <w:pStyle w:val="BodyText"/>
      </w:pPr>
      <w:r>
        <w:t xml:space="preserve">в лице директора А. В. Смирнова, действующего на основании устава</w:t>
      </w:r>
    </w:p>
    <w:bookmarkStart w:id="10" w:name="X85a09ac1c4f3165905728dbe64dffc92dd76e94"/>
    <w:p>
      <w:pPr>
        <w:pStyle w:val="Heading1"/>
      </w:pPr>
      <w:r>
        <w:t xml:space="preserve">Акт разграничения балансовой принадлежности тепловых сетей</w:t>
      </w:r>
    </w:p>
    <w:bookmarkStart w:id="9" w:name="X5293b1b51371b81dcf0f68ef53334d778cdfeab"/>
    <w:p>
      <w:pPr>
        <w:pStyle w:val="Heading2"/>
      </w:pPr>
      <w:r>
        <w:t xml:space="preserve">между теплоснабжающей организацией и потребителем</w:t>
      </w:r>
    </w:p>
    <w:p>
      <w:pPr>
        <w:pStyle w:val="FirstParagraph"/>
      </w:pPr>
      <w:r>
        <w:t xml:space="preserve">«18» ноября 2026 г.</w:t>
      </w:r>
    </w:p>
    <w:p>
      <w:pPr>
        <w:pStyle w:val="BodyText"/>
      </w:pPr>
      <w:r>
        <w:t xml:space="preserve">Объект, к которому подключаются тепловые сети, — многоквартирный дом по адресу: г. Волжский, ул. Мира, д. 26, корп. 1. Теплоснабжение осуществляется от котельной № 3.</w:t>
      </w:r>
    </w:p>
    <w:p>
      <w:pPr>
        <w:pStyle w:val="BodyText"/>
      </w:pPr>
      <w:r>
        <w:t xml:space="preserve">Граница балансовой принадлежности тепловых сетей проходит по наружной стене тепловой камеры ТК-14: участок от котельной № 3 до ТК-14 включительно находится на балансе теплоснабжающей организации, участок от ТК-14 до теплового пункта здания — на балансе потребителя.</w:t>
      </w:r>
    </w:p>
    <w:p>
      <w:pPr>
        <w:pStyle w:val="BodyText"/>
      </w:pPr>
      <w:r>
        <w:t xml:space="preserve">Граница эксплуатационной ответственности совпадает с границей балансовой принадлежности. Теплоснабжающая организация обслуживает сети до ТК-14, потребитель — от ТК-14 до теплового пункта и внутридомовые сети.</w:t>
      </w:r>
    </w:p>
    <w:p>
      <w:pPr>
        <w:pStyle w:val="BodyText"/>
      </w:pPr>
      <w:r>
        <w:t xml:space="preserve">Прибор учёта тепловой энергии установлен в тепловом пункте здания на границе раздела и допущен в эксплуатацию актом от 10.11.2026.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Теплоснабжающая организация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С. А.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Потребитель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разграничения балансовой принадлежности тепловых сетей</dc:title>
  <dc:creator/>
  <dc:language>ru</dc:language>
  <cp:keywords/>
  <dcterms:created xsi:type="dcterms:W3CDTF">2026-11-01T20:30:53Z</dcterms:created>
  <dcterms:modified xsi:type="dcterms:W3CDTF">2026-11-01T20:30:53Z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