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и эксплуатационной ответственности</w:t>
      </w:r>
    </w:p>
    <w:p>
      <w:pPr>
        <w:pStyle w:val="FirstParagraph"/>
      </w:pPr>
      <w:r>
        <w:t xml:space="preserve">Сетевая организация: ООО «Городские сети»</w:t>
      </w:r>
    </w:p>
    <w:p>
      <w:pPr>
        <w:pStyle w:val="BodyText"/>
      </w:pPr>
      <w:r>
        <w:t xml:space="preserve">в лице главного инженера С. С. Смирнова</w:t>
      </w:r>
    </w:p>
    <w:p>
      <w:pPr>
        <w:pStyle w:val="BodyText"/>
      </w:pPr>
      <w:r>
        <w:t xml:space="preserve">Заявитель: ООО «Ромашка»</w:t>
      </w:r>
    </w:p>
    <w:p>
      <w:pPr>
        <w:pStyle w:val="BodyText"/>
      </w:pPr>
      <w:r>
        <w:t xml:space="preserve">в лице директора П. П. Петрова</w:t>
      </w:r>
    </w:p>
    <w:bookmarkStart w:id="10" w:name="Xb7ca4e55208e2d886d8ee93bf3b6b685f7f823a"/>
    <w:p>
      <w:pPr>
        <w:pStyle w:val="Heading1"/>
      </w:pPr>
      <w:r>
        <w:t xml:space="preserve">Акт разграничения балансовой принадлежности и эксплуатационной ответственности</w:t>
      </w:r>
    </w:p>
    <w:bookmarkStart w:id="9" w:name="электроустановок-сторон"/>
    <w:p>
      <w:pPr>
        <w:pStyle w:val="Heading2"/>
      </w:pPr>
      <w:r>
        <w:t xml:space="preserve">электроустановок сторон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Электроустановки сторон находятся по адресу: г. Тверь, ул. Заводская, д. 12. Максимальная мощность присоединения — 150 кВт, совокупная номинальная мощность присоединённых трансформаторов — 250 кВА.</w:t>
      </w:r>
    </w:p>
    <w:p>
      <w:pPr>
        <w:pStyle w:val="BodyText"/>
      </w:pPr>
      <w:r>
        <w:t xml:space="preserve">На балансе сетевой организации находится кабельная линия 0,4 кВ от ТП-114 до наружной стены здания. На балансе заявителя находится вводное распределительное устройство и внутренние сети здания.</w:t>
      </w:r>
    </w:p>
    <w:p>
      <w:pPr>
        <w:pStyle w:val="BodyText"/>
      </w:pPr>
      <w:r>
        <w:t xml:space="preserve">Граница балансовой принадлежности проходит по наконечникам кабеля на вводном распределительном устройстве здания.</w:t>
      </w:r>
    </w:p>
    <w:p>
      <w:pPr>
        <w:pStyle w:val="BodyText"/>
      </w:pPr>
      <w:r>
        <w:t xml:space="preserve">Граница эксплуатационной ответственности сторон совпадает с границей балансовой принадлежности.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и эксплуатационной ответственности</dc:title>
  <dc:creator/>
  <dc:language>ru</dc:language>
  <cp:keywords/>
  <dcterms:created xsi:type="dcterms:W3CDTF">2026-10-28T21:41:49Z</dcterms:created>
  <dcterms:modified xsi:type="dcterms:W3CDTF">2026-10-28T21:41:49Z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