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приемки законченного строительством объекта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«Строймонтаж», ИНН 7800000000</w:t>
      </w:r>
    </w:p>
    <w:p>
      <w:pPr>
        <w:pStyle w:val="BodyText"/>
      </w:pPr>
      <w:r>
        <w:t xml:space="preserve">Объект: производственный корпус, г. Москва, ул. Промышленная, д. 5</w:t>
      </w:r>
    </w:p>
    <w:bookmarkStart w:id="10" w:name="Xa0e15c9367930413fa1a70f5c4b278cf7007b0e"/>
    <w:p>
      <w:pPr>
        <w:pStyle w:val="Heading1"/>
      </w:pPr>
      <w:r>
        <w:t xml:space="preserve">Акт приемки законченного строительством объекта</w:t>
      </w:r>
    </w:p>
    <w:bookmarkStart w:id="9" w:name="X964f73281efc6ce200a27aad202522b6585ed89"/>
    <w:p>
      <w:pPr>
        <w:pStyle w:val="Heading2"/>
      </w:pPr>
      <w:r>
        <w:t xml:space="preserve">по типовой межотраслевой форме № КС-11 (ОКУД 0322003)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Строительство велось по проектной документации, получившей положительное заключение экспертизы, и разрешению на строительство. Работы выполнены в объёме, предусмотренном договором подряда от 12 января 2026 г. № 4.</w:t>
      </w:r>
    </w:p>
    <w:p>
      <w:pPr>
        <w:pStyle w:val="BodyText"/>
      </w:pPr>
      <w:r>
        <w:t xml:space="preserve">Стоимость работ по договору — сумма, указанная в справке о стоимости выполненных работ и затрат по форме КС-3; фактически перечислено заказчиком согласно актам по форме КС-2.</w:t>
      </w:r>
    </w:p>
    <w:p>
      <w:pPr>
        <w:pStyle w:val="BodyText"/>
      </w:pPr>
      <w:r>
        <w:t xml:space="preserve">Объект принят по акту после устранения замечаний, перечисленных в приложении. Строительные конструкции и инженерные системы соответствуют проекту и требованиям технических регламентов.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А. Сергеев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законченного строительством объекта</dc:title>
  <dc:creator/>
  <dc:language>ru</dc:language>
  <cp:keywords/>
  <dcterms:created xsi:type="dcterms:W3CDTF">2026-10-28T21:41:46Z</dcterms:created>
  <dcterms:modified xsi:type="dcterms:W3CDTF">2026-10-28T21:41:46Z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