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топливной карты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Передаёт: начальник гаража С. С. Смирнов</w:t>
      </w:r>
    </w:p>
    <w:p>
      <w:pPr>
        <w:pStyle w:val="BodyText"/>
      </w:pPr>
      <w:r>
        <w:t xml:space="preserve">Принимает: водитель А. А. Кузнецов</w:t>
      </w:r>
    </w:p>
    <w:bookmarkStart w:id="10" w:name="акт-приёма-передачи-топливной-карты"/>
    <w:p>
      <w:pPr>
        <w:pStyle w:val="Heading1"/>
      </w:pPr>
      <w:r>
        <w:t xml:space="preserve">Акт приёма-передачи топливной карты</w:t>
      </w:r>
    </w:p>
    <w:bookmarkStart w:id="9" w:name="к-приказу-от-12-октября-2026-г.-41"/>
    <w:p>
      <w:pPr>
        <w:pStyle w:val="Heading2"/>
      </w:pPr>
      <w:r>
        <w:t xml:space="preserve">к приказу от 12 октября 2026 г. № 41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Передаётся топливная карта № 7000 1234 5678 9012, эмитент — ПАО «Банк», лимит 15 000 рублей в месяц, вид топлива — дизельное.</w:t>
      </w:r>
    </w:p>
    <w:p>
      <w:pPr>
        <w:pStyle w:val="BodyText"/>
      </w:pPr>
      <w:r>
        <w:t xml:space="preserve">На карте на момент передачи числится остаток 3 200 рублей. Карта исправна, пин-код передан принимающему в запечатанном конверте.</w:t>
      </w:r>
    </w:p>
    <w:p>
      <w:pPr>
        <w:pStyle w:val="BodyText"/>
      </w:pPr>
      <w:r>
        <w:t xml:space="preserve">Принимающий обязуется использовать карту только для заправки служебного автомобиля, хранить пин-код отдельно от карты и вернуть её по акту при увольнении, переводе или по требованию работодателя.</w:t>
      </w:r>
    </w:p>
    <w:p>
      <w:pPr>
        <w:pStyle w:val="BodyText"/>
      </w:pPr>
      <w:r>
        <w:t xml:space="preserve">Приложение: приказ о выдаче карты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Начальник гаража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топливной карты</dc:title>
  <dc:creator/>
  <dc:language>ru</dc:language>
  <cp:keywords/>
  <dcterms:created xsi:type="dcterms:W3CDTF">2026-11-03T20:31:03Z</dcterms:created>
  <dcterms:modified xsi:type="dcterms:W3CDTF">2026-11-03T20:31:03Z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