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строительных материалов</w:t>
      </w:r>
    </w:p>
    <w:p>
      <w:pPr>
        <w:pStyle w:val="FirstParagraph"/>
      </w:pPr>
      <w:r>
        <w:t xml:space="preserve">Передатчик: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Принимающий: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16a42da4999451e09cd32e78b870544a206f8b4"/>
    <w:p>
      <w:pPr>
        <w:pStyle w:val="Heading1"/>
      </w:pPr>
      <w:r>
        <w:t xml:space="preserve">Акт приёма-передачи строительных материалов</w:t>
      </w:r>
    </w:p>
    <w:bookmarkStart w:id="9" w:name="Xdb5da76830a54dc28afd27f13986a98a61a3a5b"/>
    <w:p>
      <w:pPr>
        <w:pStyle w:val="Heading2"/>
      </w:pPr>
      <w:r>
        <w:t xml:space="preserve">по договору поставки № 27/П от 12 октября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передачи: 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характеристики, количество, цена и сумма по каждому материалу: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приёмки: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Передатчик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строительных материалов</dc:title>
  <dc:creator/>
  <dc:language>ru</dc:language>
  <cp:keywords/>
  <dcterms:created xsi:type="dcterms:W3CDTF">2026-11-07T06:39:52Z</dcterms:created>
  <dcterms:modified xsi:type="dcterms:W3CDTF">2026-11-07T06:39:52Z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