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приёма-передачи мебели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в лице генерального директора П. П. Петрова</w:t>
      </w:r>
    </w:p>
    <w:p>
      <w:pPr>
        <w:pStyle w:val="BodyText"/>
      </w:pPr>
      <w:r>
        <w:t xml:space="preserve">Покупатель: ИП Иванов И. И.</w:t>
      </w:r>
    </w:p>
    <w:p>
      <w:pPr>
        <w:pStyle w:val="BodyText"/>
      </w:pPr>
      <w:r>
        <w:t xml:space="preserve">в лице И. И. Иванова</w:t>
      </w:r>
    </w:p>
    <w:bookmarkStart w:id="10" w:name="акт-приёма-передачи-мебели"/>
    <w:p>
      <w:pPr>
        <w:pStyle w:val="Heading1"/>
      </w:pPr>
      <w:r>
        <w:t xml:space="preserve">Акт приёма-передачи мебели</w:t>
      </w:r>
    </w:p>
    <w:bookmarkStart w:id="9" w:name="к-договору-купли-продажи-поставки-мебели"/>
    <w:p>
      <w:pPr>
        <w:pStyle w:val="Heading2"/>
      </w:pPr>
      <w:r>
        <w:t xml:space="preserve">к договору купли-продажи (поставки) мебели</w:t>
      </w:r>
    </w:p>
    <w:p>
      <w:pPr>
        <w:pStyle w:val="FirstParagraph"/>
      </w:pPr>
      <w:r>
        <w:t xml:space="preserve">16 ноября 2026 г. № 14</w:t>
      </w:r>
    </w:p>
    <w:p>
      <w:pPr>
        <w:pStyle w:val="BodyText"/>
      </w:pPr>
      <w:r>
        <w:t xml:space="preserve">Продавец передал, а покупатель принял мебель по договору от 1 ноября 2026 г. № 27 в количестве и комплектности согласно спецификации (приложение № 1 к договору).</w:t>
      </w:r>
    </w:p>
    <w:p>
      <w:pPr>
        <w:pStyle w:val="BodyText"/>
      </w:pPr>
      <w:r>
        <w:t xml:space="preserve">Наименование, артикул, количество и цена единицы указаны в таблице ниже. Общая стоимость переданной мебели — 148 000 рублей, в том числе НДС 22 % — 26 688,52 рубля.</w:t>
      </w:r>
    </w:p>
    <w:p>
      <w:pPr>
        <w:pStyle w:val="BodyText"/>
      </w:pPr>
      <w:r>
        <w:t xml:space="preserve">При осмотре мебель проверена на соответствие образцу и спецификации. Видимых повреждений, сколов, царапин и следов намокания не обнаружено. Претензий к внешнему виду, комплектности и качеству сборки покупатель не имеет.</w:t>
      </w:r>
    </w:p>
    <w:p>
      <w:pPr>
        <w:pStyle w:val="BodyText"/>
      </w:pPr>
      <w:r>
        <w:t xml:space="preserve">Гарантийный срок на корпусную мебель — 24 месяца с даты подписания акта. Претензии по скрытым дефектам принимаются в течение гарантийного срока.</w:t>
      </w:r>
    </w:p>
    <w:p>
      <w:pPr>
        <w:pStyle w:val="BodyText"/>
      </w:pPr>
      <w:r>
        <w:t xml:space="preserve">Акт составлен в двух экземплярах, по одному для каждой стороны. Оба экземпляра имеют равную юридическую силу.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ИП Иванов И. И.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приёма-передачи мебели</dc:title>
  <dc:creator/>
  <dc:language>ru</dc:language>
  <cp:keywords/>
  <dcterms:created xsi:type="dcterms:W3CDTF">2026-11-01T20:30:43Z</dcterms:created>
  <dcterms:modified xsi:type="dcterms:W3CDTF">2026-11-01T20:30:43Z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