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документов по ведению воинского учёта и бронирования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X67a1e014ca3099729dfb08f2cb80876d9e6f9e5"/>
    <w:p>
      <w:pPr>
        <w:pStyle w:val="Heading1"/>
      </w:pPr>
      <w:r>
        <w:t xml:space="preserve">Акт приёма-передачи документов по ведению воинского учёта и бронирования</w:t>
      </w:r>
    </w:p>
    <w:bookmarkStart w:id="9" w:name="от-16-ноября-2026-г.-3"/>
    <w:p>
      <w:pPr>
        <w:pStyle w:val="Heading2"/>
      </w:pPr>
      <w:r>
        <w:t xml:space="preserve">от 16 ноября 2026 г. № 3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увольнением инспектора по кадрам И. И. Ивановой, ответственной за ведение воинского учёта и бронирования граждан, пребывающих в запасе, документы передаются секретарю руководителя А. А. Смирновой, назначенной ответственной приказом от 10 ноября 2026 г. № 48.</w:t>
      </w:r>
    </w:p>
    <w:p>
      <w:pPr>
        <w:pStyle w:val="BodyText"/>
      </w:pPr>
      <w:r>
        <w:t xml:space="preserve">Сдающая сторона передала, принимающая сторона приняла следующие документы:</w:t>
      </w:r>
    </w:p>
    <w:p>
      <w:pPr>
        <w:pStyle w:val="BodyText"/>
      </w:pPr>
      <w:r>
        <w:t xml:space="preserve">1. Приказ от 12 января 2026 г. № 2 «О назначении ответственного за воинский учёт» — 1 л.</w:t>
      </w:r>
    </w:p>
    <w:p>
      <w:pPr>
        <w:pStyle w:val="BodyText"/>
      </w:pPr>
      <w:r>
        <w:t xml:space="preserve">2. План работы по воинскому учёту и бронированию на 2026 год — 3 л.</w:t>
      </w:r>
    </w:p>
    <w:p>
      <w:pPr>
        <w:pStyle w:val="BodyText"/>
      </w:pPr>
      <w:r>
        <w:t xml:space="preserve">3. Журнал учёта личных карточек формы Т-2 — 1 л.</w:t>
      </w:r>
    </w:p>
    <w:p>
      <w:pPr>
        <w:pStyle w:val="BodyText"/>
      </w:pPr>
      <w:r>
        <w:t xml:space="preserve">4. Картотека личных карточек работников, состоящих на воинском учёте, — 64 карточки.</w:t>
      </w:r>
    </w:p>
    <w:p>
      <w:pPr>
        <w:pStyle w:val="BodyText"/>
      </w:pPr>
      <w:r>
        <w:t xml:space="preserve">5. Списки работников, подлежащих первоначальной постановке на воинский учёт, — 2 л.</w:t>
      </w:r>
    </w:p>
    <w:p>
      <w:pPr>
        <w:pStyle w:val="BodyText"/>
      </w:pPr>
      <w:r>
        <w:t xml:space="preserve">6. Переписка с военным комиссариатом за 2026 год — 18 л.</w:t>
      </w:r>
    </w:p>
    <w:p>
      <w:pPr>
        <w:pStyle w:val="BodyText"/>
      </w:pPr>
      <w:r>
        <w:t xml:space="preserve">7. Удостоверение об отсрочке и мобилизационные предписания работников — 12 шт.</w:t>
      </w:r>
    </w:p>
    <w:p>
      <w:pPr>
        <w:pStyle w:val="BodyText"/>
      </w:pPr>
      <w:r>
        <w:t xml:space="preserve">8. Документы по бронированию граждан, пребывающих в запасе: список забронированных лиц, учётные карточки — 9 л.</w:t>
      </w:r>
    </w:p>
    <w:p>
      <w:pPr>
        <w:pStyle w:val="BodyText"/>
      </w:pPr>
      <w:r>
        <w:t xml:space="preserve">Документы переданы в полном составе, замечаний у принимающей стороны нет.</w:t>
      </w:r>
    </w:p>
    <w:p>
      <w:pPr>
        <w:pStyle w:val="BodyText"/>
      </w:pPr>
      <w:r>
        <w:t xml:space="preserve">Акт составлен в двух экземплярах: первый хранится в деле воинского учёта, второй — у принимающей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</w:t>
            </w:r>
          </w:p>
          <w:p>
            <w:pPr>
              <w:pStyle w:val="BodyText"/>
            </w:pPr>
            <w:r>
              <w:t xml:space="preserve">Инспектор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Секретарь руководителя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документов по ведению воинского учёта и бронирования</dc:title>
  <dc:creator/>
  <dc:language>ru</dc:language>
  <cp:keywords/>
  <dcterms:created xsi:type="dcterms:W3CDTF">2026-11-07T20:31:58Z</dcterms:created>
  <dcterms:modified xsi:type="dcterms:W3CDTF">2026-11-07T20:31:58Z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