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оценки вреда, который может быть причинён субъектам персональных данных</w:t>
      </w:r>
    </w:p>
    <w:p>
      <w:pPr>
        <w:pStyle w:val="FirstParagraph"/>
      </w:pPr>
      <w:r>
        <w:t xml:space="preserve">Наименование оператора: ______________________________</w:t>
      </w:r>
    </w:p>
    <w:p>
      <w:pPr>
        <w:pStyle w:val="BodyText"/>
      </w:pPr>
      <w:r>
        <w:t xml:space="preserve">ИНН/ОГРН: ________________________________________</w:t>
      </w:r>
    </w:p>
    <w:p>
      <w:pPr>
        <w:pStyle w:val="BodyText"/>
      </w:pPr>
      <w:r>
        <w:t xml:space="preserve">Адрес: ______________________________________________</w:t>
      </w:r>
    </w:p>
    <w:bookmarkStart w:id="10" w:name="X7350f92e85a04d02c333d3adda373b67c66e10f"/>
    <w:p>
      <w:pPr>
        <w:pStyle w:val="Heading1"/>
      </w:pPr>
      <w:r>
        <w:t xml:space="preserve">Акт оценки вреда, который может быть причинён субъектам персональных данных</w:t>
      </w:r>
    </w:p>
    <w:bookmarkStart w:id="9" w:name="Xbc2a830ee4be866bd8d0d8f84f7516f388e48c6"/>
    <w:p>
      <w:pPr>
        <w:pStyle w:val="Heading2"/>
      </w:pPr>
      <w:r>
        <w:t xml:space="preserve">в случае нарушения Федерального закона «О персональных данных»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проведения оценки: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Объект оценки (процессы, системы, категории данных):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Установленная степень вреда (высокая, средняя, низкая) и обоснование: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Лица, проводившие оценку: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оценки вреда, который может быть причинён субъектам персональных данных</dc:title>
  <dc:creator/>
  <dc:language>ru</dc:language>
  <cp:keywords/>
  <dcterms:created xsi:type="dcterms:W3CDTF">2026-11-02T20:30:32Z</dcterms:created>
  <dcterms:modified xsi:type="dcterms:W3CDTF">2026-11-02T20:30:32Z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