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обследования и категорирования гостиницы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1c356bb3dd9327fabffdb82aa005c9381ff0f9c"/>
    <w:p>
      <w:pPr>
        <w:pStyle w:val="Heading1"/>
      </w:pPr>
      <w:r>
        <w:t xml:space="preserve">Акт обследования и категорирования гостиницы</w:t>
      </w:r>
    </w:p>
    <w:bookmarkStart w:id="9" w:name="X1986d18c7b5bc9c47899d37d33114b512525a40"/>
    <w:p>
      <w:pPr>
        <w:pStyle w:val="Heading2"/>
      </w:pPr>
      <w:r>
        <w:t xml:space="preserve">по постановлению Правительства РФ от 14.04.2017 № 447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В ходе обследования установлено: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Присвоена категория опасности: ______________________________________________</w:t>
      </w:r>
    </w:p>
    <w:p>
      <w:pPr>
        <w:pStyle w:val="BodyText"/>
      </w:pPr>
      <w:r>
        <w:t xml:space="preserve">Предложения комиссии: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и категорирования гостиницы</dc:title>
  <dc:creator/>
  <dc:language>ru</dc:language>
  <cp:keywords/>
  <dcterms:created xsi:type="dcterms:W3CDTF">2026-11-04T20:30:26Z</dcterms:created>
  <dcterms:modified xsi:type="dcterms:W3CDTF">2026-11-04T20:30:26Z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