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неремонтопригодности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Комиссия в составе: 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о-неремонтопригодности"/>
    <w:p>
      <w:pPr>
        <w:pStyle w:val="Heading1"/>
      </w:pPr>
      <w:r>
        <w:t xml:space="preserve">Акт о неремонтопригодности</w:t>
      </w:r>
    </w:p>
    <w:bookmarkStart w:id="9" w:name="X87e78a711f04b3ab9904c0c3fd7081dc018ae46"/>
    <w:p>
      <w:pPr>
        <w:pStyle w:val="Heading2"/>
      </w:pPr>
      <w:r>
        <w:t xml:space="preserve">оборудования (принтера HP LaserJet Pro M404dn, инв. № 000123)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осмотрела: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Установила: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Решение комиссии: 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неремонтопригодности</dc:title>
  <dc:creator/>
  <dc:language>ru</dc:language>
  <cp:keywords/>
  <dcterms:created xsi:type="dcterms:W3CDTF">2026-10-31T20:30:27Z</dcterms:created>
  <dcterms:modified xsi:type="dcterms:W3CDTF">2026-10-31T20:30:27Z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