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непригодности оборудования к дальнейшему использованию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28ac8adf2b6a2708c81b6fd83d8d0ad0e787d7b"/>
    <w:p>
      <w:pPr>
        <w:pStyle w:val="Heading1"/>
      </w:pPr>
      <w:r>
        <w:t xml:space="preserve">Акт о непригодности оборудования к дальнейшему использованию</w:t>
      </w:r>
    </w:p>
    <w:bookmarkStart w:id="9" w:name="по-результатам-осмотра-токарного-станка"/>
    <w:p>
      <w:pPr>
        <w:pStyle w:val="Heading2"/>
      </w:pPr>
      <w:r>
        <w:t xml:space="preserve">по результатам осмотра токарного станка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 провела осмотр оборудования: 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дефекты: 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комиссии: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Дальнейшие действия с оборудованием: 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непригодности оборудования к дальнейшему использованию</dc:title>
  <dc:creator/>
  <dc:language>ru</dc:language>
  <cp:keywords/>
  <dcterms:created xsi:type="dcterms:W3CDTF">2026-11-07T20:31:13Z</dcterms:created>
  <dcterms:modified xsi:type="dcterms:W3CDTF">2026-11-07T20:31:13Z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