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на списание материалов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Склад № 2, цех сборки</w:t>
      </w:r>
    </w:p>
    <w:bookmarkStart w:id="10" w:name="акт-на-списание-материалов"/>
    <w:p>
      <w:pPr>
        <w:pStyle w:val="Heading1"/>
      </w:pPr>
      <w:r>
        <w:t xml:space="preserve">Акт на списание материалов</w:t>
      </w:r>
    </w:p>
    <w:bookmarkStart w:id="9" w:name="от-16-ноября-2026-г."/>
    <w:p>
      <w:pPr>
        <w:pStyle w:val="Heading2"/>
      </w:pPr>
      <w:r>
        <w:t xml:space="preserve">№ 7 от 16 ноября 2026 г.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Комиссия в составе главного инженера П. П. Петрова, бухгалтера И. И. Ивановой и кладовщика С. С. Сидорова составила настоящий акт о том, что на складе № 2 подлежат списанию материалы, пришедшие в негодность при сборке партии изделий.</w:t>
      </w:r>
    </w:p>
    <w:p>
      <w:pPr>
        <w:pStyle w:val="BodyText"/>
      </w:pPr>
      <w:r>
        <w:t xml:space="preserve">Наименование: лист оцинкованный 1,5 мм — 12 листов по 1 250 руб. на сумму 15 000 руб.; крепёж М8 — 340 шт. по 18 руб. на сумму 6 120 руб. Итого 21 120 руб.</w:t>
      </w:r>
    </w:p>
    <w:p>
      <w:pPr>
        <w:pStyle w:val="BodyText"/>
      </w:pPr>
      <w:r>
        <w:t xml:space="preserve">Материалы пришли в негодность из-за нарушения условий хранения на складе. Виновные лица не установлены. Списать материалы с баланса и признать расходы в бухгалтерском и налоговом учёте.</w:t>
      </w:r>
    </w:p>
    <w:p>
      <w:pPr>
        <w:pStyle w:val="BodyText"/>
      </w:pPr>
      <w:r>
        <w:t xml:space="preserve">Приложение: приказ о создании комиссии № 3 от 12 января 2026 г., ведомость расхода материалов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списание материалов</dc:title>
  <dc:creator/>
  <dc:language>ru</dc:language>
  <cp:keywords/>
  <dcterms:created xsi:type="dcterms:W3CDTF">2026-10-28T21:41:33Z</dcterms:created>
  <dcterms:modified xsi:type="dcterms:W3CDTF">2026-10-28T21:41:33Z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