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Основание: приказ от 12 октября 2026 г. № 48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X484334dc9810ff16ab5db93317d4cd6b7ca6c43"/>
    <w:p>
      <w:pPr>
        <w:pStyle w:val="Heading2"/>
      </w:pPr>
      <w:r>
        <w:t xml:space="preserve">по инвентаризации товарно-материальных ценностей на складе</w:t>
      </w:r>
    </w:p>
    <w:p>
      <w:pPr>
        <w:pStyle w:val="FirstParagraph"/>
      </w:pPr>
      <w:r>
        <w:t xml:space="preserve">16 октября 2026 г. № 7</w:t>
      </w:r>
    </w:p>
    <w:p>
      <w:pPr>
        <w:pStyle w:val="BodyText"/>
      </w:pPr>
      <w:r>
        <w:t xml:space="preserve">Инвентаризация проведена с 12 по 15 октября 2026 года по состоянию на 15 октября 2026 года. Проверены товарно-материальные ценности на складе готовой продукции: 214 наименований на сумму 3 480 000 рублей по данным учёта.</w:t>
      </w:r>
    </w:p>
    <w:p>
      <w:pPr>
        <w:pStyle w:val="BodyText"/>
      </w:pPr>
      <w:r>
        <w:t xml:space="preserve">По результатам пересчёта и осмотра фактическое наличие совпадает с данными учёта по 209 наименованиям. Выявлена недостача по трём наименованиям на сумму 41 200 рублей и излишки по двум наименованиям на сумму 9 800 рублей. Ведомость расхождений прилагается.</w:t>
      </w:r>
    </w:p>
    <w:p>
      <w:pPr>
        <w:pStyle w:val="BodyText"/>
      </w:pPr>
      <w:r>
        <w:t xml:space="preserve">Приложение: инвентаризационная опись № 3 на 12 л. в 1 экз., ведомость расхождений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В. Ковалёва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2026-10-31T20:30:24Z</dcterms:created>
  <dcterms:modified xsi:type="dcterms:W3CDTF">2026-10-31T20:30:24Z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