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техническом состоянии материальных ценностей (форма 12)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ce00a7ecf310449250fc2cddc9ee2b5d0b869d5"/>
    <w:p>
      <w:pPr>
        <w:pStyle w:val="Heading1"/>
      </w:pPr>
      <w:r>
        <w:t xml:space="preserve">Акт о техническом состоянии материальных ценностей (форма 12)</w:t>
      </w:r>
    </w:p>
    <w:bookmarkStart w:id="9" w:name="Xe3b1d08cfab7ee7f39aa645ce3ae729ecba22e5"/>
    <w:p>
      <w:pPr>
        <w:pStyle w:val="Heading2"/>
      </w:pPr>
      <w:r>
        <w:t xml:space="preserve">на объект основных средств перед списанием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и его состояние: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техническом состоянии материальных ценностей (форма 12)</dc:title>
  <dc:creator/>
  <dc:language>ru</dc:language>
  <cp:keywords/>
  <dcterms:created xsi:type="dcterms:W3CDTF">2026-11-01T20:30:20Z</dcterms:created>
  <dcterms:modified xsi:type="dcterms:W3CDTF">2026-11-01T20:30:20Z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